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E7750" w14:textId="646ED3B9" w:rsidR="0098789C" w:rsidRPr="00211E29" w:rsidRDefault="0057378D" w:rsidP="002B0042">
      <w:pPr>
        <w:jc w:val="center"/>
        <w:rPr>
          <w:sz w:val="28"/>
          <w:szCs w:val="28"/>
        </w:rPr>
      </w:pPr>
      <w:r>
        <w:rPr>
          <w:sz w:val="28"/>
          <w:szCs w:val="28"/>
        </w:rPr>
        <w:t xml:space="preserve">Zum </w:t>
      </w:r>
      <w:r w:rsidR="002B0042" w:rsidRPr="00211E29">
        <w:rPr>
          <w:sz w:val="28"/>
          <w:szCs w:val="28"/>
        </w:rPr>
        <w:t>Vorschlag der EU-Kommission für eine neue Urheberrechtsrichtlinie</w:t>
      </w:r>
      <w:r>
        <w:rPr>
          <w:sz w:val="28"/>
          <w:szCs w:val="28"/>
        </w:rPr>
        <w:t>.</w:t>
      </w:r>
      <w:r w:rsidR="00700E93">
        <w:rPr>
          <w:sz w:val="28"/>
          <w:szCs w:val="28"/>
        </w:rPr>
        <w:t xml:space="preserve"> </w:t>
      </w:r>
      <w:r>
        <w:rPr>
          <w:sz w:val="28"/>
          <w:szCs w:val="28"/>
        </w:rPr>
        <w:t>Die ökonomische Verwertungssicht dominiert weiter gegenüber den offenen Austauschformen in Bildung und Wissenschaft</w:t>
      </w:r>
    </w:p>
    <w:p w14:paraId="2D89EC85" w14:textId="77777777" w:rsidR="00E335A6" w:rsidRDefault="002B0042" w:rsidP="00E335A6">
      <w:pPr>
        <w:jc w:val="center"/>
        <w:rPr>
          <w:sz w:val="28"/>
          <w:szCs w:val="28"/>
        </w:rPr>
      </w:pPr>
      <w:r w:rsidRPr="00211E29">
        <w:rPr>
          <w:sz w:val="28"/>
          <w:szCs w:val="28"/>
        </w:rPr>
        <w:t>Rainer Kuhlen</w:t>
      </w:r>
      <w:r w:rsidR="0046151D" w:rsidRPr="00211E29">
        <w:rPr>
          <w:sz w:val="28"/>
          <w:szCs w:val="28"/>
        </w:rPr>
        <w:t xml:space="preserve"> </w:t>
      </w:r>
    </w:p>
    <w:p w14:paraId="793AE658" w14:textId="77777777" w:rsidR="00E335A6" w:rsidRPr="00E335A6" w:rsidRDefault="00E335A6" w:rsidP="00E335A6">
      <w:pPr>
        <w:jc w:val="center"/>
        <w:rPr>
          <w:sz w:val="20"/>
          <w:szCs w:val="20"/>
        </w:rPr>
      </w:pPr>
      <w:r w:rsidRPr="00E335A6">
        <w:rPr>
          <w:sz w:val="20"/>
          <w:szCs w:val="20"/>
        </w:rPr>
        <w:t>27.2.2017</w:t>
      </w:r>
    </w:p>
    <w:p w14:paraId="20282DA2" w14:textId="63A3A525" w:rsidR="002B0042" w:rsidRDefault="00E335A6" w:rsidP="00E335A6">
      <w:pPr>
        <w:jc w:val="center"/>
      </w:pPr>
      <w:r w:rsidRPr="00E57955">
        <w:rPr>
          <w:sz w:val="18"/>
          <w:szCs w:val="18"/>
        </w:rPr>
        <w:t>[Dies ist die Autorenversion, vor der Fahnenkorrektur; der Nachweis der veröffentlichten Version unter:www.kuhlen.name/publikationen.html]</w:t>
      </w:r>
    </w:p>
    <w:p w14:paraId="79ABCC82" w14:textId="77777777" w:rsidR="00812CA9" w:rsidRPr="00812CA9" w:rsidRDefault="00812CA9" w:rsidP="00812CA9">
      <w:pPr>
        <w:rPr>
          <w:rFonts w:ascii="Times" w:eastAsia="Times New Roman" w:hAnsi="Times" w:cs="Times New Roman"/>
          <w:sz w:val="20"/>
          <w:szCs w:val="20"/>
        </w:rPr>
      </w:pPr>
      <w:r w:rsidRPr="00812CA9">
        <w:rPr>
          <w:rFonts w:ascii="Times" w:eastAsia="Times New Roman" w:hAnsi="Times" w:cs="Times New Roman"/>
          <w:b/>
          <w:bCs/>
          <w:sz w:val="20"/>
          <w:szCs w:val="20"/>
        </w:rPr>
        <w:t>Zusammenfassung</w:t>
      </w:r>
      <w:r w:rsidRPr="00812CA9">
        <w:rPr>
          <w:rFonts w:ascii="Times" w:eastAsia="Times New Roman" w:hAnsi="Times" w:cs="Times New Roman"/>
          <w:sz w:val="20"/>
          <w:szCs w:val="20"/>
        </w:rPr>
        <w:t xml:space="preserve">: Die Europäische Kommission hat mit Datum 14. September 2016 einen (derzeit stark kontrovers diskutierten) Vorschlag für eine neue Urheberrechtsrichtlinie „On Copyright in the Digital Single Market“ (COM(2016) 593 final) vorgelegt. Dies ist keine Ersetzung der bestehenden Richtlinien, insbesondere nicht der alten InfoSoc-Richtlinie von 2001. Vielmehr wird eine Vielzahl neuer Schrankenregelungen vorgeschlagen (z.B. für grenzüberschreitende Ausbildung, TDM, Gedächtnisorganisationen, Bibliotheken, Leistungsschutzrecht für Presseverleger) die jetzt weitgehend obligatorisch für eine Umsetzung in das jeweils nationale Recht der Mitgliedsländer sein sollen. In diesem Beitrag steht die Frage im Zentrum, inwieweit der jetzige Vorschlag allgemein zu einer Verbesserung der Nutzungssituation für Wissen und Information in Bildung und Wissenschaft führen kann. </w:t>
      </w:r>
    </w:p>
    <w:p w14:paraId="4ED1A30B" w14:textId="3C83BEF8" w:rsidR="00812CA9" w:rsidRPr="00812CA9" w:rsidRDefault="00812CA9" w:rsidP="00812CA9">
      <w:pPr>
        <w:rPr>
          <w:rFonts w:ascii="Times" w:eastAsia="Times New Roman" w:hAnsi="Times" w:cs="Times New Roman"/>
          <w:b/>
          <w:sz w:val="20"/>
          <w:szCs w:val="20"/>
        </w:rPr>
      </w:pPr>
      <w:r w:rsidRPr="00812CA9">
        <w:rPr>
          <w:rFonts w:ascii="Times" w:eastAsia="Times New Roman" w:hAnsi="Times" w:cs="Times New Roman"/>
          <w:b/>
          <w:sz w:val="20"/>
          <w:szCs w:val="20"/>
        </w:rPr>
        <w:t>Abstract</w:t>
      </w:r>
    </w:p>
    <w:p w14:paraId="5B68B4BC" w14:textId="77777777" w:rsidR="00812CA9" w:rsidRPr="00812CA9" w:rsidRDefault="00812CA9" w:rsidP="00812CA9">
      <w:pPr>
        <w:rPr>
          <w:sz w:val="20"/>
          <w:szCs w:val="20"/>
        </w:rPr>
      </w:pPr>
      <w:r w:rsidRPr="00812CA9">
        <w:rPr>
          <w:rFonts w:ascii="Times" w:eastAsia="Times New Roman" w:hAnsi="Times" w:cs="Times New Roman"/>
          <w:sz w:val="20"/>
          <w:szCs w:val="20"/>
        </w:rPr>
        <w:t xml:space="preserve">As of Sepember 14th 2016, the European Commission published a proposal for a new Copyright Directive „On Copyright in the Digital Single Market“ (COM(2016) 593 final) which is momentarily rather controversially being discussed. This Directive is not supposed to replace the existing Directives. In particular, the old InfoSoc-Directive from 2001 still continues to apply. The Commission proposes a set of new exceptions and limitations (for instance, for education, TDM, memory organizations, libraries, </w:t>
      </w:r>
      <w:r w:rsidRPr="00812CA9">
        <w:rPr>
          <w:rFonts w:ascii="Times" w:hAnsi="Times"/>
          <w:iCs/>
          <w:sz w:val="20"/>
          <w:szCs w:val="20"/>
        </w:rPr>
        <w:t>ancillary copyright</w:t>
      </w:r>
      <w:r w:rsidRPr="00812CA9">
        <w:rPr>
          <w:rFonts w:ascii="Times" w:hAnsi="Times"/>
          <w:sz w:val="20"/>
          <w:szCs w:val="20"/>
        </w:rPr>
        <w:t xml:space="preserve"> for </w:t>
      </w:r>
      <w:r w:rsidRPr="00812CA9">
        <w:rPr>
          <w:rFonts w:ascii="Times" w:hAnsi="Times"/>
          <w:iCs/>
          <w:sz w:val="20"/>
          <w:szCs w:val="20"/>
        </w:rPr>
        <w:t>press</w:t>
      </w:r>
      <w:r w:rsidRPr="00812CA9">
        <w:rPr>
          <w:rFonts w:ascii="Times" w:hAnsi="Times"/>
          <w:sz w:val="20"/>
          <w:szCs w:val="20"/>
        </w:rPr>
        <w:t xml:space="preserve"> publishers) </w:t>
      </w:r>
      <w:r w:rsidRPr="00812CA9">
        <w:rPr>
          <w:rFonts w:ascii="Times" w:eastAsia="Times New Roman" w:hAnsi="Times" w:cs="Times New Roman"/>
          <w:sz w:val="20"/>
          <w:szCs w:val="20"/>
        </w:rPr>
        <w:t xml:space="preserve">which are mandatory for being transferred into respective national </w:t>
      </w:r>
      <w:r w:rsidRPr="00812CA9">
        <w:rPr>
          <w:sz w:val="20"/>
          <w:szCs w:val="20"/>
        </w:rPr>
        <w:t xml:space="preserve">copyright laws of the EU member states. This article mainly deals  with how this proposal can contribute to a more education- and research-friendly copyright. </w:t>
      </w:r>
    </w:p>
    <w:p w14:paraId="71FE83F5" w14:textId="77777777" w:rsidR="00812CA9" w:rsidRPr="00812CA9" w:rsidRDefault="00812CA9" w:rsidP="00812CA9">
      <w:pPr>
        <w:rPr>
          <w:sz w:val="20"/>
          <w:szCs w:val="20"/>
        </w:rPr>
      </w:pPr>
      <w:r w:rsidRPr="00812CA9">
        <w:rPr>
          <w:b/>
          <w:sz w:val="20"/>
          <w:szCs w:val="20"/>
        </w:rPr>
        <w:t>Deskriptoren</w:t>
      </w:r>
      <w:r w:rsidRPr="00812CA9">
        <w:rPr>
          <w:sz w:val="20"/>
          <w:szCs w:val="20"/>
        </w:rPr>
        <w:t>: Europäische Union, Europäische Kommission, Urheberrecht, Wissenschaft und Technik,  Gedächtnisorganisationen, Bibliotheken, Text und Data Mining (TDM), grenzüberschreitende Ausbildung, Leistungsschutzrecht für Presseverleger, Vervielfältigung, öffentliche Zugänglichmachung,Vergütung, Lizenzierung, Nutzung, Europäische Union, Wissen und Information</w:t>
      </w:r>
    </w:p>
    <w:p w14:paraId="13D70FBF" w14:textId="77777777" w:rsidR="00812CA9" w:rsidRPr="00812CA9" w:rsidRDefault="00812CA9" w:rsidP="00812CA9">
      <w:pPr>
        <w:rPr>
          <w:sz w:val="20"/>
          <w:szCs w:val="20"/>
        </w:rPr>
      </w:pPr>
      <w:bookmarkStart w:id="0" w:name="_GoBack"/>
      <w:bookmarkEnd w:id="0"/>
      <w:r w:rsidRPr="00812CA9">
        <w:rPr>
          <w:b/>
          <w:sz w:val="20"/>
          <w:szCs w:val="20"/>
        </w:rPr>
        <w:t>Key words:</w:t>
      </w:r>
      <w:r w:rsidRPr="00812CA9">
        <w:rPr>
          <w:sz w:val="20"/>
          <w:szCs w:val="20"/>
        </w:rPr>
        <w:t xml:space="preserve"> European Union, European Commission, copyright, science, technology, memory organizations, libraries, text and data mining (TDM) cross-border education, </w:t>
      </w:r>
      <w:r w:rsidRPr="00812CA9">
        <w:rPr>
          <w:iCs/>
          <w:sz w:val="20"/>
          <w:szCs w:val="20"/>
        </w:rPr>
        <w:t>ancillary copyright</w:t>
      </w:r>
      <w:r w:rsidRPr="00812CA9">
        <w:rPr>
          <w:sz w:val="20"/>
          <w:szCs w:val="20"/>
        </w:rPr>
        <w:t xml:space="preserve"> for </w:t>
      </w:r>
      <w:r w:rsidRPr="00812CA9">
        <w:rPr>
          <w:iCs/>
          <w:sz w:val="20"/>
          <w:szCs w:val="20"/>
        </w:rPr>
        <w:t>press</w:t>
      </w:r>
      <w:r w:rsidRPr="00812CA9">
        <w:rPr>
          <w:sz w:val="20"/>
          <w:szCs w:val="20"/>
        </w:rPr>
        <w:t xml:space="preserve"> publishers, reproduction, making publicly available, remuneration, licensing, use, knowledge and information</w:t>
      </w:r>
    </w:p>
    <w:p w14:paraId="1609310F" w14:textId="77777777" w:rsidR="00812CA9" w:rsidRDefault="00812CA9" w:rsidP="0046151D"/>
    <w:p w14:paraId="406B50EE" w14:textId="00C6EFCE" w:rsidR="00A875B8" w:rsidRPr="0046151D" w:rsidRDefault="00A875B8" w:rsidP="0046151D">
      <w:r w:rsidRPr="0046151D">
        <w:t xml:space="preserve">Die Europäische Kommission hat mit Datum </w:t>
      </w:r>
      <w:r w:rsidR="00250C74" w:rsidRPr="0046151D">
        <w:t xml:space="preserve">vom </w:t>
      </w:r>
      <w:r w:rsidRPr="0046151D">
        <w:t>14.9.2016</w:t>
      </w:r>
      <w:r w:rsidR="00262375">
        <w:t xml:space="preserve"> einen Vorschlag für eine neue Urheberrechtsr</w:t>
      </w:r>
      <w:r w:rsidRPr="0046151D">
        <w:t xml:space="preserve">ichtlinie „On </w:t>
      </w:r>
      <w:r w:rsidR="0098789C" w:rsidRPr="0046151D">
        <w:t>Copyright</w:t>
      </w:r>
      <w:r w:rsidRPr="0046151D">
        <w:t xml:space="preserve"> in the Digital Single Market“ </w:t>
      </w:r>
      <w:r w:rsidR="004F664B" w:rsidRPr="0046151D">
        <w:t xml:space="preserve">(COM(2016) 593 final) </w:t>
      </w:r>
      <w:r w:rsidRPr="0046151D">
        <w:t>vorgelegt.</w:t>
      </w:r>
    </w:p>
    <w:p w14:paraId="700C9353" w14:textId="663FBFA2" w:rsidR="0095403A" w:rsidRDefault="0095403A" w:rsidP="0095403A">
      <w:r>
        <w:t xml:space="preserve">In </w:t>
      </w:r>
      <w:r w:rsidR="00262375">
        <w:t>diesem Beitrag</w:t>
      </w:r>
      <w:r>
        <w:t xml:space="preserve"> steht die Frage im Zentrum, inwieweit der jetzige Vorschlag allgemein zu einer </w:t>
      </w:r>
      <w:r w:rsidRPr="000D11FD">
        <w:rPr>
          <w:i/>
        </w:rPr>
        <w:t xml:space="preserve">Verbesserung der Nutzungssituation für Wissen und Information in Bildung und </w:t>
      </w:r>
      <w:r w:rsidRPr="000D11FD">
        <w:rPr>
          <w:i/>
        </w:rPr>
        <w:lastRenderedPageBreak/>
        <w:t>Wissenschaft</w:t>
      </w:r>
      <w:r>
        <w:t xml:space="preserve"> führen kann. Zusätzlich wird kurz noch auf we</w:t>
      </w:r>
      <w:r w:rsidR="008F3EE1">
        <w:t xml:space="preserve">itere Aspekte des EU-Vorschlags </w:t>
      </w:r>
      <w:r>
        <w:t>eingegangen</w:t>
      </w:r>
      <w:r w:rsidR="007A53EC">
        <w:t>.</w:t>
      </w:r>
      <w:bookmarkStart w:id="1" w:name="_Ref348774229"/>
      <w:r w:rsidR="007A53EC">
        <w:rPr>
          <w:rStyle w:val="Funotenzeichen"/>
        </w:rPr>
        <w:footnoteReference w:id="1"/>
      </w:r>
      <w:bookmarkEnd w:id="1"/>
    </w:p>
    <w:p w14:paraId="2D7CC154" w14:textId="77777777" w:rsidR="004E4E5D" w:rsidRPr="00BE168B" w:rsidRDefault="004E4E5D" w:rsidP="004E4E5D">
      <w:pPr>
        <w:rPr>
          <w:b/>
        </w:rPr>
      </w:pPr>
      <w:r w:rsidRPr="00BE168B">
        <w:rPr>
          <w:b/>
        </w:rPr>
        <w:t>Vorbemerkung</w:t>
      </w:r>
    </w:p>
    <w:p w14:paraId="44C0DB1C" w14:textId="77777777" w:rsidR="00833B36" w:rsidRDefault="00FD329C" w:rsidP="006555D4">
      <w:pPr>
        <w:spacing w:before="0" w:beforeAutospacing="0" w:after="0" w:afterAutospacing="0"/>
      </w:pPr>
      <w:r>
        <w:t>Urheberrecht liegt nach nach wie vor in der Zuständigkeit der j</w:t>
      </w:r>
      <w:r w:rsidR="00391069">
        <w:t>e</w:t>
      </w:r>
      <w:r>
        <w:t xml:space="preserve">weiligen nationalen Gesetzgebung der einzelnen EU-Länder, obgleich es immer wieder </w:t>
      </w:r>
      <w:r w:rsidR="00391069">
        <w:t>Bestrebungen gibt, ein einhei</w:t>
      </w:r>
      <w:r>
        <w:t>tliche</w:t>
      </w:r>
      <w:r w:rsidR="00391069">
        <w:t>s</w:t>
      </w:r>
      <w:r>
        <w:t xml:space="preserve"> EU-Recht dafür zu schaffen. Bislang </w:t>
      </w:r>
      <w:r w:rsidR="00833B36">
        <w:t xml:space="preserve">nimmt die EU ihre </w:t>
      </w:r>
      <w:r>
        <w:t>Regulierungskompetenz für das Urheberrecht über Richtlinie</w:t>
      </w:r>
      <w:r w:rsidR="00391069">
        <w:t>n</w:t>
      </w:r>
      <w:r w:rsidR="00833B36">
        <w:t xml:space="preserve"> wahr</w:t>
      </w:r>
      <w:r w:rsidR="00391069">
        <w:t>, die i.d.R. innerhalb</w:t>
      </w:r>
      <w:r>
        <w:t xml:space="preserve"> von zwei Jahren in nationales Recht umzusetzen </w:t>
      </w:r>
      <w:r w:rsidR="00391069">
        <w:t>sind</w:t>
      </w:r>
      <w:r>
        <w:t xml:space="preserve">. </w:t>
      </w:r>
    </w:p>
    <w:p w14:paraId="59D34F99" w14:textId="77777777" w:rsidR="00533A6F" w:rsidRDefault="003E5910" w:rsidP="00833B36">
      <w:pPr>
        <w:spacing w:before="0" w:beforeAutospacing="0" w:after="0" w:afterAutospacing="0"/>
      </w:pPr>
      <w:r>
        <w:t xml:space="preserve">In den </w:t>
      </w:r>
      <w:r w:rsidR="0057378D">
        <w:t>Fußnoten</w:t>
      </w:r>
      <w:r>
        <w:t xml:space="preserve"> 7-13 des EU-Vorschlags sind die seit 1996 auf das Urheberrecht </w:t>
      </w:r>
      <w:r w:rsidR="002274E8">
        <w:t xml:space="preserve">bezogenen Richtlinien </w:t>
      </w:r>
      <w:r w:rsidR="00CC2540">
        <w:t>der</w:t>
      </w:r>
      <w:r w:rsidR="0057378D">
        <w:t xml:space="preserve"> EU </w:t>
      </w:r>
      <w:r w:rsidR="002274E8">
        <w:t>dokumentiert.</w:t>
      </w:r>
      <w:r w:rsidR="00700E93">
        <w:t xml:space="preserve"> </w:t>
      </w:r>
      <w:r w:rsidR="002274E8">
        <w:t>Der jetzige Vorschlag ist laut der Kommission kompatibel mit diesen weiter</w:t>
      </w:r>
      <w:r w:rsidR="0057378D">
        <w:t>hin</w:t>
      </w:r>
      <w:r w:rsidR="002274E8">
        <w:t xml:space="preserve"> geltenden Richtlinie</w:t>
      </w:r>
      <w:r w:rsidR="0057378D">
        <w:t>n</w:t>
      </w:r>
      <w:r w:rsidR="002274E8">
        <w:t>, vor allem mit der zentralen sogenannten InfoSoc Richtlinie von 2001</w:t>
      </w:r>
      <w:r w:rsidR="002274E8">
        <w:rPr>
          <w:rStyle w:val="Funotenzeichen"/>
        </w:rPr>
        <w:footnoteReference w:id="2"/>
      </w:r>
      <w:r w:rsidR="00833B36">
        <w:t>, ersetzt diese also nicht</w:t>
      </w:r>
      <w:r w:rsidR="002274E8">
        <w:t xml:space="preserve">. </w:t>
      </w:r>
      <w:r w:rsidR="00F47878">
        <w:t xml:space="preserve">Alle diese Richtlinien </w:t>
      </w:r>
      <w:r w:rsidR="0057378D">
        <w:t xml:space="preserve">und der jetzige Entwurf </w:t>
      </w:r>
      <w:r w:rsidR="00F47878">
        <w:t>sollen die Funktionsfähigkeit des internen EU-Marktes unterstützen</w:t>
      </w:r>
      <w:r w:rsidR="006555D4">
        <w:t xml:space="preserve">, nicht zuletzt dadurch, dass ein hohes Schutzniveau für die Rechtsinhaber </w:t>
      </w:r>
      <w:r w:rsidR="0057378D">
        <w:t xml:space="preserve">eingerichtet: </w:t>
      </w:r>
      <w:r w:rsidR="006555D4">
        <w:t>„</w:t>
      </w:r>
      <w:r w:rsidR="00F47878" w:rsidRPr="006555D4">
        <w:t>ensure a high level of protection for right holders and facilitate the clearance of rights</w:t>
      </w:r>
      <w:r w:rsidR="0057378D">
        <w:t>“ (</w:t>
      </w:r>
      <w:r w:rsidR="006555D4" w:rsidRPr="006555D4">
        <w:t>p. 4)</w:t>
      </w:r>
      <w:r w:rsidR="00F47878" w:rsidRPr="006555D4">
        <w:t>.</w:t>
      </w:r>
      <w:r w:rsidR="006555D4">
        <w:t xml:space="preserve"> </w:t>
      </w:r>
      <w:r w:rsidR="00833B36">
        <w:t xml:space="preserve">Mit „Rechtsinhaber“ sind, so </w:t>
      </w:r>
      <w:r w:rsidR="003E0659">
        <w:t xml:space="preserve">so legt </w:t>
      </w:r>
      <w:r w:rsidR="00875527">
        <w:t xml:space="preserve">es </w:t>
      </w:r>
      <w:r w:rsidR="003E0659">
        <w:t xml:space="preserve">zumindest das europäische </w:t>
      </w:r>
      <w:r w:rsidR="003E0659" w:rsidRPr="003E0659">
        <w:rPr>
          <w:i/>
        </w:rPr>
        <w:t>Urheber</w:t>
      </w:r>
      <w:r w:rsidR="003E0659">
        <w:t>recht nahe</w:t>
      </w:r>
      <w:r w:rsidR="00833B36">
        <w:t xml:space="preserve">, </w:t>
      </w:r>
      <w:r w:rsidR="00875527">
        <w:t xml:space="preserve">sind </w:t>
      </w:r>
      <w:r w:rsidR="007B423D">
        <w:t>die Autorinnen und Autoren</w:t>
      </w:r>
      <w:r w:rsidR="00875527">
        <w:t xml:space="preserve"> gemeint</w:t>
      </w:r>
      <w:r w:rsidR="007B423D">
        <w:t xml:space="preserve">, die </w:t>
      </w:r>
      <w:r w:rsidR="00875527">
        <w:t xml:space="preserve">den Schutz ihrer Werke </w:t>
      </w:r>
      <w:r w:rsidR="007B423D">
        <w:t xml:space="preserve">nicht nur </w:t>
      </w:r>
      <w:r w:rsidR="00875527">
        <w:t>über die</w:t>
      </w:r>
      <w:r w:rsidR="007B423D">
        <w:t xml:space="preserve">Persönlichkeitsrechte, sondern auch </w:t>
      </w:r>
      <w:r w:rsidR="00875527">
        <w:t>exklusiv den Schutz ihrer</w:t>
      </w:r>
      <w:r w:rsidR="007B423D">
        <w:t xml:space="preserve"> Verwertungsrecht </w:t>
      </w:r>
      <w:r w:rsidR="00875527">
        <w:t>genießen. Dem ist auch so. A</w:t>
      </w:r>
      <w:r w:rsidR="00CC2540">
        <w:t xml:space="preserve">ber faktisch </w:t>
      </w:r>
      <w:r w:rsidR="00875527">
        <w:t xml:space="preserve">reklamieren </w:t>
      </w:r>
      <w:r w:rsidR="00CC2540">
        <w:t>in den m</w:t>
      </w:r>
      <w:r w:rsidR="007B423D">
        <w:t xml:space="preserve">eisten Fällen die Verleger </w:t>
      </w:r>
      <w:r w:rsidR="00875527">
        <w:t>diesen Schutz</w:t>
      </w:r>
      <w:r w:rsidR="007B423D">
        <w:t xml:space="preserve">, </w:t>
      </w:r>
      <w:r w:rsidR="00875527">
        <w:t xml:space="preserve">da sie bis in die jüngste Vergangeneit, aber oft genug auch heute noch </w:t>
      </w:r>
      <w:r w:rsidR="007B423D">
        <w:t xml:space="preserve">per Vertrag von den Autoren deren </w:t>
      </w:r>
      <w:r w:rsidR="007B423D" w:rsidRPr="00CC2540">
        <w:rPr>
          <w:i/>
        </w:rPr>
        <w:t>Verwertungsrechte</w:t>
      </w:r>
      <w:r w:rsidR="00875527">
        <w:t xml:space="preserve">  </w:t>
      </w:r>
      <w:r w:rsidR="007B423D">
        <w:t xml:space="preserve">als </w:t>
      </w:r>
      <w:r w:rsidR="007B423D" w:rsidRPr="00CC2540">
        <w:rPr>
          <w:i/>
        </w:rPr>
        <w:t>Nutzungsrechte</w:t>
      </w:r>
      <w:r w:rsidR="00875527">
        <w:rPr>
          <w:i/>
        </w:rPr>
        <w:t xml:space="preserve"> </w:t>
      </w:r>
      <w:r w:rsidR="00875527" w:rsidRPr="00875527">
        <w:t>ebenfalls mit exklusivem Anspruch</w:t>
      </w:r>
      <w:r w:rsidR="00533A6F">
        <w:t xml:space="preserve"> </w:t>
      </w:r>
      <w:r w:rsidR="007B423D" w:rsidRPr="00875527">
        <w:t>übernommen</w:t>
      </w:r>
      <w:r w:rsidR="007B423D">
        <w:t xml:space="preserve"> haben. </w:t>
      </w:r>
    </w:p>
    <w:p w14:paraId="4180C2F5" w14:textId="56763796" w:rsidR="00875527" w:rsidRDefault="00875527" w:rsidP="00833B36">
      <w:pPr>
        <w:spacing w:before="0" w:beforeAutospacing="0" w:after="0" w:afterAutospacing="0"/>
      </w:pPr>
      <w:r>
        <w:t>Verlage</w:t>
      </w:r>
      <w:r w:rsidR="00533A6F">
        <w:t xml:space="preserve"> (davon sind die auf den Bildungs- und Wissenschaftsmärkten nur ein kleiner, aber nicht zu vernachlässigender Teil)</w:t>
      </w:r>
      <w:r>
        <w:t xml:space="preserve"> sind Teil des </w:t>
      </w:r>
      <w:r w:rsidR="00BC5F6E">
        <w:t>Publikations-/Medienm</w:t>
      </w:r>
      <w:r>
        <w:t>arktes</w:t>
      </w:r>
      <w:r w:rsidR="00533A6F">
        <w:t xml:space="preserve">. </w:t>
      </w:r>
      <w:r w:rsidR="006555D4">
        <w:t xml:space="preserve">Der Bezug auf den internen Markt dient </w:t>
      </w:r>
      <w:r w:rsidR="006743B7">
        <w:t>ent</w:t>
      </w:r>
      <w:r w:rsidR="007B423D">
        <w:t xml:space="preserve">sprechend auch der EU-Kommission </w:t>
      </w:r>
      <w:r w:rsidR="006555D4">
        <w:t>als die entscheidende Legitimation für die Urheberrechts-/Copyright-Regulierung in der EU.</w:t>
      </w:r>
      <w:r w:rsidR="00833B36">
        <w:t xml:space="preserve"> </w:t>
      </w:r>
      <w:r w:rsidR="00533A6F">
        <w:t>Der Eindruck ist allerdings kaum von der Hand zu weisen, dass die Regulierung des Urheberrechts-/Copyrights sehr stark durch die Sicht auf die Publikumsmärkte geprägt wird.</w:t>
      </w:r>
    </w:p>
    <w:p w14:paraId="55F98F13" w14:textId="5BF30AFC" w:rsidR="00CC2540" w:rsidRDefault="00533A6F" w:rsidP="00833B36">
      <w:pPr>
        <w:spacing w:before="0" w:beforeAutospacing="0" w:after="0" w:afterAutospacing="0"/>
      </w:pPr>
      <w:r>
        <w:t xml:space="preserve">Wie auch immer – die </w:t>
      </w:r>
      <w:r w:rsidR="00FC02E2">
        <w:t>bisherige</w:t>
      </w:r>
      <w:r>
        <w:t>n</w:t>
      </w:r>
      <w:r w:rsidR="006555D4">
        <w:t xml:space="preserve"> Regulierung</w:t>
      </w:r>
      <w:r w:rsidR="007B423D">
        <w:t>en</w:t>
      </w:r>
      <w:r w:rsidR="006555D4">
        <w:t xml:space="preserve"> </w:t>
      </w:r>
      <w:r>
        <w:t xml:space="preserve">haben allerdings </w:t>
      </w:r>
      <w:r w:rsidR="006555D4">
        <w:t xml:space="preserve">kaum zu </w:t>
      </w:r>
      <w:r w:rsidR="00AC7647">
        <w:t>dem von der EU als zentral</w:t>
      </w:r>
      <w:r w:rsidR="00BC5F6E">
        <w:t xml:space="preserve"> angesehen</w:t>
      </w:r>
      <w:r w:rsidR="00AC7647">
        <w:t>en</w:t>
      </w:r>
      <w:r w:rsidR="00BC5F6E">
        <w:t xml:space="preserve"> Marktziel der </w:t>
      </w:r>
      <w:r>
        <w:t>H</w:t>
      </w:r>
      <w:r w:rsidR="006555D4">
        <w:t>a</w:t>
      </w:r>
      <w:r w:rsidR="007B423D">
        <w:t>r</w:t>
      </w:r>
      <w:r w:rsidR="006555D4">
        <w:t>monisierung/Vereinheitlichung des Urheberrechts in de</w:t>
      </w:r>
      <w:r w:rsidR="00CC2540">
        <w:t>n</w:t>
      </w:r>
      <w:r w:rsidR="006555D4">
        <w:t xml:space="preserve"> EU-Ländern geführt.</w:t>
      </w:r>
      <w:r w:rsidR="00FC02E2">
        <w:rPr>
          <w:rStyle w:val="Funotenzeichen"/>
        </w:rPr>
        <w:footnoteReference w:id="3"/>
      </w:r>
      <w:r w:rsidR="006555D4">
        <w:t xml:space="preserve"> Vieles, vor allem in der InfoSoc Richtlinie, ist </w:t>
      </w:r>
      <w:r w:rsidR="007B423D">
        <w:t>für die</w:t>
      </w:r>
      <w:r w:rsidR="00700E93">
        <w:t xml:space="preserve"> </w:t>
      </w:r>
      <w:r w:rsidR="007B423D">
        <w:t xml:space="preserve">Umsetzung in das jeweilige </w:t>
      </w:r>
      <w:r w:rsidR="00CC2540">
        <w:t>nationale Urheberrecht optional.</w:t>
      </w:r>
      <w:r w:rsidR="007B423D">
        <w:t xml:space="preserve"> W</w:t>
      </w:r>
      <w:r w:rsidR="006555D4">
        <w:t>eniges obligatorisch – mit der Folge, dass das Urheberrecht in den EU-Ländern weiterhin doch arg flickenteppichähnlich ist.</w:t>
      </w:r>
    </w:p>
    <w:p w14:paraId="59839166" w14:textId="654BEE19" w:rsidR="006555D4" w:rsidRPr="00700E93" w:rsidRDefault="006555D4" w:rsidP="006555D4">
      <w:r>
        <w:lastRenderedPageBreak/>
        <w:t>Der jetzige Vorschlag der EU-Kommission bevorzugt tendenziell obligatorische Lösungen</w:t>
      </w:r>
      <w:r w:rsidR="006743B7">
        <w:t xml:space="preserve"> (</w:t>
      </w:r>
      <w:r w:rsidR="00AC7647">
        <w:t xml:space="preserve">verwendet </w:t>
      </w:r>
      <w:r w:rsidR="006743B7">
        <w:t xml:space="preserve">verschiedentlich aber </w:t>
      </w:r>
      <w:r w:rsidR="00AC7647">
        <w:t>auch</w:t>
      </w:r>
      <w:r w:rsidR="006B3F51">
        <w:t xml:space="preserve"> „may</w:t>
      </w:r>
      <w:r w:rsidR="006743B7">
        <w:t xml:space="preserve"> provide“)</w:t>
      </w:r>
      <w:r>
        <w:t xml:space="preserve">, allerdings ohne damit die bestehenden optionalen Regulierungen </w:t>
      </w:r>
      <w:r w:rsidR="006743B7">
        <w:t xml:space="preserve">durchgängig </w:t>
      </w:r>
      <w:r>
        <w:t>in verbindliche umzuwandeln. Das gilt in unserem Zusammenhang vor allem</w:t>
      </w:r>
      <w:r w:rsidR="001C1021">
        <w:t xml:space="preserve"> für die </w:t>
      </w:r>
      <w:r w:rsidR="0088608C">
        <w:t>Ausnahme/Begrenzung</w:t>
      </w:r>
      <w:r w:rsidR="008F1DF2">
        <w:rPr>
          <w:rStyle w:val="Funotenzeichen"/>
        </w:rPr>
        <w:footnoteReference w:id="4"/>
      </w:r>
      <w:r w:rsidR="001C1021">
        <w:t xml:space="preserve"> in Art. 5, 3, </w:t>
      </w:r>
      <w:r w:rsidR="007B423D">
        <w:t xml:space="preserve">a </w:t>
      </w:r>
      <w:r w:rsidR="001C1021">
        <w:t xml:space="preserve">welche die (optionale) Vorgabe für nationale Schranken für Bildung und </w:t>
      </w:r>
      <w:r w:rsidR="001C1021" w:rsidRPr="00700E93">
        <w:t>Wissenschaft ist</w:t>
      </w:r>
      <w:r w:rsidR="00CC2540">
        <w:t xml:space="preserve"> </w:t>
      </w:r>
      <w:r w:rsidR="00AC7647">
        <w:t xml:space="preserve">– in Deutschland § 52a UrhG </w:t>
      </w:r>
      <w:r w:rsidR="00CC2540">
        <w:t xml:space="preserve">(vgl. Abschnitt </w:t>
      </w:r>
      <w:r w:rsidR="00CC2540">
        <w:fldChar w:fldCharType="begin"/>
      </w:r>
      <w:r w:rsidR="00CC2540">
        <w:instrText xml:space="preserve"> REF _Ref349146133 \r \h </w:instrText>
      </w:r>
      <w:r w:rsidR="00CC2540">
        <w:fldChar w:fldCharType="separate"/>
      </w:r>
      <w:r w:rsidR="002B006B">
        <w:t>2.3</w:t>
      </w:r>
      <w:r w:rsidR="00CC2540">
        <w:fldChar w:fldCharType="end"/>
      </w:r>
      <w:r w:rsidR="00CC2540">
        <w:t>)</w:t>
      </w:r>
      <w:r w:rsidR="007B423D" w:rsidRPr="00700E93">
        <w:t xml:space="preserve">: </w:t>
      </w:r>
    </w:p>
    <w:p w14:paraId="3F5861AA" w14:textId="3CA7868F" w:rsidR="007B423D" w:rsidRPr="00700E93" w:rsidRDefault="007B423D" w:rsidP="007B423D">
      <w:pPr>
        <w:ind w:left="708"/>
      </w:pPr>
      <w:r w:rsidRPr="00700E93">
        <w:rPr>
          <w:rStyle w:val="FunotentextZeichen"/>
          <w:sz w:val="24"/>
          <w:szCs w:val="24"/>
        </w:rPr>
        <w:t>„a) für die Nutzung ausschließlich zur Veranschaulichung im Unterricht oder für Zwecke der wissenschaftlichen Forschung, sofern — außer in Fällen, in denen sich dies als unmöglich erweist — die Quelle, einschließlich des Namens des Urhebers, wann immer dies möglich ist, angegeben wird und soweit dies zur Verfolgung nicht kommerzieller Zwecke gerechtfertigt ist“.</w:t>
      </w:r>
    </w:p>
    <w:p w14:paraId="3C2EF3CF" w14:textId="22D72257" w:rsidR="003A3AC5" w:rsidRDefault="003A3AC5" w:rsidP="00700E93">
      <w:pPr>
        <w:rPr>
          <w:rFonts w:eastAsia="Times New Roman" w:cs="Times New Roman"/>
        </w:rPr>
      </w:pPr>
      <w:r>
        <w:t xml:space="preserve">Seit etwa 10 Jahren hat die Diskussion über ein neues Urheberrecht in der EU begonnen, wie üblich </w:t>
      </w:r>
      <w:r w:rsidR="00CC2540">
        <w:t>anfänglich</w:t>
      </w:r>
      <w:r>
        <w:t xml:space="preserve"> mit einem </w:t>
      </w:r>
      <w:r w:rsidR="00700E93">
        <w:t>Grünbuch</w:t>
      </w:r>
      <w:r>
        <w:t xml:space="preserve"> der Kommission</w:t>
      </w:r>
      <w:r w:rsidRPr="00317323">
        <w:rPr>
          <w:rStyle w:val="Funotenzeichen"/>
        </w:rPr>
        <w:footnoteReference w:id="5"/>
      </w:r>
      <w:r>
        <w:t>. Es hat eine Weile gedauert, bis sich die Kommission zu einer öffentlichen Befragung (</w:t>
      </w:r>
      <w:r w:rsidRPr="00700E93">
        <w:rPr>
          <w:i/>
        </w:rPr>
        <w:t>consultation</w:t>
      </w:r>
      <w:r>
        <w:t>)</w:t>
      </w:r>
      <w:r w:rsidR="00700E93">
        <w:t xml:space="preserve"> </w:t>
      </w:r>
      <w:r>
        <w:t xml:space="preserve">zum </w:t>
      </w:r>
      <w:r w:rsidR="00700E93">
        <w:t>Urheberrecht</w:t>
      </w:r>
      <w:r>
        <w:t xml:space="preserve"> entschieden</w:t>
      </w:r>
      <w:r w:rsidR="00317323">
        <w:t xml:space="preserve"> hatte. D</w:t>
      </w:r>
      <w:r>
        <w:t>er ausführliche Auswertung</w:t>
      </w:r>
      <w:r w:rsidR="00317323">
        <w:t>sbericht</w:t>
      </w:r>
      <w:r>
        <w:t xml:space="preserve"> </w:t>
      </w:r>
      <w:r w:rsidR="003B5E2A">
        <w:t>wurde</w:t>
      </w:r>
      <w:r w:rsidR="00317323">
        <w:t xml:space="preserve"> 2014</w:t>
      </w:r>
      <w:r w:rsidR="008124E8">
        <w:t xml:space="preserve"> öffentlich zugän</w:t>
      </w:r>
      <w:r w:rsidR="003B5E2A">
        <w:t>glich gemacht</w:t>
      </w:r>
      <w:r w:rsidRPr="00317323">
        <w:rPr>
          <w:rStyle w:val="Funotenzeichen"/>
        </w:rPr>
        <w:footnoteReference w:id="6"/>
      </w:r>
      <w:r w:rsidRPr="00391069">
        <w:rPr>
          <w:b/>
          <w:bCs/>
        </w:rPr>
        <w:t xml:space="preserve">. </w:t>
      </w:r>
      <w:r w:rsidR="00700E93">
        <w:rPr>
          <w:bCs/>
        </w:rPr>
        <w:t>Große</w:t>
      </w:r>
      <w:r w:rsidRPr="00317323">
        <w:rPr>
          <w:bCs/>
        </w:rPr>
        <w:t xml:space="preserve"> Erwartungen erweckte </w:t>
      </w:r>
      <w:r w:rsidR="00700E93">
        <w:rPr>
          <w:bCs/>
        </w:rPr>
        <w:t>der Beschluss des Europäischen Parlements von Mitte 2015.</w:t>
      </w:r>
      <w:r w:rsidR="00391069">
        <w:rPr>
          <w:rStyle w:val="Funotenzeichen"/>
          <w:rFonts w:eastAsia="Times New Roman" w:cs="Times New Roman"/>
        </w:rPr>
        <w:footnoteReference w:id="7"/>
      </w:r>
      <w:r w:rsidR="00700E93">
        <w:rPr>
          <w:rFonts w:eastAsia="Times New Roman" w:cs="Times New Roman"/>
        </w:rPr>
        <w:t xml:space="preserve"> </w:t>
      </w:r>
      <w:r w:rsidR="00391069">
        <w:rPr>
          <w:rFonts w:eastAsia="Times New Roman" w:cs="Times New Roman"/>
        </w:rPr>
        <w:t xml:space="preserve">Dieser Parlaments-Beschluss beruhte auf einem fulminanten, schlussendlich </w:t>
      </w:r>
      <w:r w:rsidR="00700E93">
        <w:rPr>
          <w:rFonts w:eastAsia="Times New Roman" w:cs="Times New Roman"/>
        </w:rPr>
        <w:t>d</w:t>
      </w:r>
      <w:r w:rsidR="00391069">
        <w:rPr>
          <w:rFonts w:eastAsia="Times New Roman" w:cs="Times New Roman"/>
        </w:rPr>
        <w:t>ann aber in vielen Details vom Parlament zurückgenommenen Report von Julia Reda (Mitg</w:t>
      </w:r>
      <w:r w:rsidR="00CC2540">
        <w:rPr>
          <w:rFonts w:eastAsia="Times New Roman" w:cs="Times New Roman"/>
        </w:rPr>
        <w:t>lied des EU</w:t>
      </w:r>
      <w:r w:rsidR="00700E93">
        <w:rPr>
          <w:rFonts w:eastAsia="Times New Roman" w:cs="Times New Roman"/>
        </w:rPr>
        <w:t>-Parlaments für die Piratenpartei</w:t>
      </w:r>
      <w:r w:rsidR="00391069">
        <w:rPr>
          <w:rFonts w:eastAsia="Times New Roman" w:cs="Times New Roman"/>
        </w:rPr>
        <w:t>)</w:t>
      </w:r>
      <w:r w:rsidR="00391069">
        <w:rPr>
          <w:rStyle w:val="Funotenzeichen"/>
          <w:rFonts w:eastAsia="Times New Roman" w:cs="Times New Roman"/>
        </w:rPr>
        <w:footnoteReference w:id="8"/>
      </w:r>
      <w:r w:rsidR="00317323">
        <w:rPr>
          <w:rFonts w:eastAsia="Times New Roman" w:cs="Times New Roman"/>
        </w:rPr>
        <w:t xml:space="preserve">. </w:t>
      </w:r>
    </w:p>
    <w:p w14:paraId="63745E75" w14:textId="1A0E6B8A" w:rsidR="001C1021" w:rsidRDefault="001C1021" w:rsidP="00700E93">
      <w:r>
        <w:lastRenderedPageBreak/>
        <w:t xml:space="preserve">Nach all diesen Vorgaben </w:t>
      </w:r>
      <w:r w:rsidR="00700E93">
        <w:t>hatte</w:t>
      </w:r>
      <w:r>
        <w:t xml:space="preserve"> </w:t>
      </w:r>
      <w:r w:rsidR="00CC2540">
        <w:t xml:space="preserve">die </w:t>
      </w:r>
      <w:r>
        <w:t>Fachöffentlichkeit gehofft oder sogar erwartet, dass durch die jetzt angestoßene Urheberrechtsreform in der EU die</w:t>
      </w:r>
      <w:r w:rsidR="00700E93">
        <w:t xml:space="preserve"> </w:t>
      </w:r>
      <w:r>
        <w:t xml:space="preserve">InfoSoc Richtlinie von 2001 gänzlich ersetzt würde. 2001 ist im Zeitalter des Internet </w:t>
      </w:r>
      <w:r w:rsidR="00F8106B">
        <w:t>gefühlt</w:t>
      </w:r>
      <w:r>
        <w:t xml:space="preserve"> so weit entfernt wie </w:t>
      </w:r>
      <w:r w:rsidR="00F8106B">
        <w:t>die Gegenw</w:t>
      </w:r>
      <w:r w:rsidR="00CC2540">
        <w:t xml:space="preserve">art </w:t>
      </w:r>
      <w:r w:rsidR="00F8106B">
        <w:t>vom</w:t>
      </w:r>
      <w:r>
        <w:t xml:space="preserve"> Mittelalter, zumal die Diskussionen über diese sogenannte InfoSoc Richtlinie weit in die 90er Jahre des letzten Jahrhunderts reichen. Nicht nur haben sich die </w:t>
      </w:r>
      <w:r w:rsidR="008124E8">
        <w:t xml:space="preserve">politischen, </w:t>
      </w:r>
      <w:r>
        <w:t xml:space="preserve">technologischen und ökonomischen Rahmenbedingungen, sondern auch </w:t>
      </w:r>
      <w:r w:rsidR="003B5E2A">
        <w:t xml:space="preserve">die moralischen, </w:t>
      </w:r>
      <w:r>
        <w:t>informationsethisch begründeten Verhaltensformen</w:t>
      </w:r>
      <w:r w:rsidR="003B5E2A">
        <w:rPr>
          <w:rStyle w:val="Funotenzeichen"/>
        </w:rPr>
        <w:footnoteReference w:id="9"/>
      </w:r>
      <w:r>
        <w:t xml:space="preserve"> für den Umgang mit Wissen und Information radikal verändert, so dass ein wirklicher Neuansatz nötig gewesen wäre. </w:t>
      </w:r>
    </w:p>
    <w:p w14:paraId="58834A8E" w14:textId="3609CA68" w:rsidR="003F5993" w:rsidRPr="003F5993" w:rsidRDefault="00F8106B" w:rsidP="003F5993">
      <w:pPr>
        <w:rPr>
          <w:rFonts w:ascii="Helvetica" w:eastAsia="Times New Roman" w:hAnsi="Helvetica" w:cs="Times New Roman"/>
          <w:sz w:val="27"/>
          <w:szCs w:val="27"/>
        </w:rPr>
      </w:pPr>
      <w:r>
        <w:rPr>
          <w:rFonts w:eastAsia="Times New Roman" w:cs="Times New Roman"/>
        </w:rPr>
        <w:t xml:space="preserve">Als unter der Verantwortlichkeit des damals für die Digitalwirtschaft zuständigen </w:t>
      </w:r>
      <w:r w:rsidR="00317323">
        <w:rPr>
          <w:rFonts w:eastAsia="Times New Roman" w:cs="Times New Roman"/>
        </w:rPr>
        <w:t>EU-Kommissar</w:t>
      </w:r>
      <w:r>
        <w:rPr>
          <w:rFonts w:eastAsia="Times New Roman" w:cs="Times New Roman"/>
        </w:rPr>
        <w:t>s</w:t>
      </w:r>
      <w:r w:rsidR="00317323">
        <w:rPr>
          <w:rFonts w:eastAsia="Times New Roman" w:cs="Times New Roman"/>
        </w:rPr>
        <w:t xml:space="preserve"> Günther Oettinger </w:t>
      </w:r>
      <w:r>
        <w:rPr>
          <w:rFonts w:eastAsia="Times New Roman" w:cs="Times New Roman"/>
        </w:rPr>
        <w:t>der Vorschlag im Herbst 2016 öffentlich wurde, machte schon dessen Titel deutlich, dass das</w:t>
      </w:r>
      <w:r w:rsidR="00E347D4">
        <w:t xml:space="preserve"> Urheberrecht </w:t>
      </w:r>
      <w:r w:rsidR="001C1021">
        <w:t xml:space="preserve">weiter </w:t>
      </w:r>
      <w:r w:rsidR="00E347D4">
        <w:t xml:space="preserve">in den Kontext von </w:t>
      </w:r>
      <w:r w:rsidR="00E347D4" w:rsidRPr="00BE168B">
        <w:rPr>
          <w:i/>
        </w:rPr>
        <w:t>Digital Single Market</w:t>
      </w:r>
      <w:r>
        <w:t xml:space="preserve"> gestellt werden sollte.</w:t>
      </w:r>
      <w:r w:rsidR="00B26AC7">
        <w:t xml:space="preserve"> </w:t>
      </w:r>
      <w:r w:rsidR="004E4E5D">
        <w:t xml:space="preserve">Offensichtlich </w:t>
      </w:r>
      <w:r w:rsidR="00D718B2">
        <w:t>wollte</w:t>
      </w:r>
      <w:r w:rsidR="004E4E5D">
        <w:t xml:space="preserve"> die EU-Kommission an dem alten Paradigma fest</w:t>
      </w:r>
      <w:r w:rsidR="00D718B2">
        <w:t>halten</w:t>
      </w:r>
      <w:r w:rsidR="004E4E5D">
        <w:t xml:space="preserve">, dass das Urheberrecht in erster Linie dazu dienen soll, </w:t>
      </w:r>
      <w:r w:rsidR="00124E04">
        <w:t>den</w:t>
      </w:r>
      <w:r w:rsidR="004E4E5D">
        <w:t xml:space="preserve"> eu</w:t>
      </w:r>
      <w:r w:rsidR="00124E04">
        <w:t xml:space="preserve">ropäischen Binnenmarkt </w:t>
      </w:r>
      <w:r w:rsidR="004E4E5D">
        <w:t xml:space="preserve">für Wissen und Information nicht nur funktionsfähig zu halten, sondern </w:t>
      </w:r>
      <w:r w:rsidR="00CC2540">
        <w:t>ihn</w:t>
      </w:r>
      <w:r w:rsidR="004E4E5D">
        <w:t xml:space="preserve"> auch in </w:t>
      </w:r>
      <w:r w:rsidR="003B5E2A">
        <w:t>seinem</w:t>
      </w:r>
      <w:r w:rsidR="004E4E5D">
        <w:t xml:space="preserve"> weiteren Ausbau </w:t>
      </w:r>
      <w:r w:rsidR="001C1021">
        <w:t xml:space="preserve">und mit starken Schutzbestimmungen </w:t>
      </w:r>
      <w:r w:rsidR="004E4E5D">
        <w:t>zu befördern.</w:t>
      </w:r>
      <w:r w:rsidR="00B26AC7">
        <w:t xml:space="preserve"> </w:t>
      </w:r>
      <w:r w:rsidR="003B5E2A">
        <w:t>Das wird vor allem an den Art. 11-13 deutlich</w:t>
      </w:r>
      <w:r w:rsidR="002B006B">
        <w:t>, durch die nach einschätzung vieler Wissenschaftler allerdings eher Innovationen behindert als befördert würden.</w:t>
      </w:r>
      <w:r w:rsidR="003F5993">
        <w:rPr>
          <w:rStyle w:val="Funotenzeichen"/>
        </w:rPr>
        <w:footnoteReference w:id="10"/>
      </w:r>
      <w:r w:rsidR="003B5E2A">
        <w:t xml:space="preserve"> </w:t>
      </w:r>
    </w:p>
    <w:p w14:paraId="06E21658" w14:textId="52F3D9F2" w:rsidR="004E4E5D" w:rsidRDefault="004E4E5D" w:rsidP="004E4E5D">
      <w:r>
        <w:t xml:space="preserve">Diese Funktionalisierung des Urheberrechts </w:t>
      </w:r>
      <w:r w:rsidR="001C1021">
        <w:t xml:space="preserve">ist, wie </w:t>
      </w:r>
      <w:r w:rsidR="00124E04">
        <w:t>zu Anfang</w:t>
      </w:r>
      <w:r w:rsidR="001C1021">
        <w:t xml:space="preserve"> erwähnt, der EU-</w:t>
      </w:r>
      <w:r w:rsidR="00D718B2">
        <w:t>Urheberrechts</w:t>
      </w:r>
      <w:r w:rsidR="00124E04">
        <w:t>r</w:t>
      </w:r>
      <w:r w:rsidR="001C1021">
        <w:t>egulierung immanent. Sie müsste auch</w:t>
      </w:r>
      <w:r>
        <w:t xml:space="preserve"> nicht unbedingt kritisiert werden –</w:t>
      </w:r>
      <w:r w:rsidR="00F3402B">
        <w:t xml:space="preserve"> </w:t>
      </w:r>
      <w:r>
        <w:t xml:space="preserve">wenn </w:t>
      </w:r>
      <w:r w:rsidR="00F3402B">
        <w:t xml:space="preserve">denn </w:t>
      </w:r>
      <w:r>
        <w:t xml:space="preserve">unter „Märkten“ nicht nur die kommerziellen, auf den Schutz proprietärer Eigentumsrechte pochenden Verwertungsformen verstanden, sondern auch die </w:t>
      </w:r>
      <w:r w:rsidR="00D718B2">
        <w:t xml:space="preserve">das Internet gleichermaßen bestimmenden </w:t>
      </w:r>
      <w:r>
        <w:t>offenen, auf freien Zugang zu und freier Nutzung von Wissen und Information setzenden A</w:t>
      </w:r>
      <w:r w:rsidR="00D718B2">
        <w:t>ustauschformen eingeschlossen wü</w:t>
      </w:r>
      <w:r>
        <w:t>rden.</w:t>
      </w:r>
      <w:r w:rsidR="00F3402B">
        <w:rPr>
          <w:rStyle w:val="Funotenzeichen"/>
        </w:rPr>
        <w:footnoteReference w:id="11"/>
      </w:r>
      <w:r>
        <w:t xml:space="preserve"> </w:t>
      </w:r>
    </w:p>
    <w:p w14:paraId="4C46B7B2" w14:textId="77777777" w:rsidR="00176EA7" w:rsidRDefault="007E2954" w:rsidP="004E4E5D">
      <w:r>
        <w:t>Leider hat sich die EU-Kommission nur sehr bedingt auf diesen Paradigmenwechsel – Zusammenspiel der kommerziellen und der offenen Informati</w:t>
      </w:r>
      <w:r w:rsidR="004A4DB7">
        <w:t>onsmärkte – eingelassen. Dies wi</w:t>
      </w:r>
      <w:r>
        <w:t xml:space="preserve">rd besonders deutlich bei den auf Bildung und Wissenschaft bezogenen Vorschlägen. Sie sind </w:t>
      </w:r>
      <w:r w:rsidR="00D718B2">
        <w:t xml:space="preserve">zwar </w:t>
      </w:r>
      <w:r>
        <w:t xml:space="preserve">teilweise als Fortschritt anzuerkennen. Aber selbst diese </w:t>
      </w:r>
      <w:r>
        <w:lastRenderedPageBreak/>
        <w:t>bleiben auf halbem Wege stecken, so dass sie in dieser Form kaum wirkliche informationelle Mehrwerteffekte für Bildung und Wissenschaft bewirken werden.</w:t>
      </w:r>
      <w:r w:rsidR="004A4DB7">
        <w:t xml:space="preserve"> </w:t>
      </w:r>
    </w:p>
    <w:p w14:paraId="3F7ABFD1" w14:textId="5002156F" w:rsidR="007E2954" w:rsidRDefault="004A4DB7" w:rsidP="004E4E5D">
      <w:r>
        <w:t xml:space="preserve">Schon gar nicht ist eine </w:t>
      </w:r>
      <w:r w:rsidRPr="00176EA7">
        <w:rPr>
          <w:i/>
        </w:rPr>
        <w:t>umfassende</w:t>
      </w:r>
      <w:r>
        <w:t xml:space="preserve"> Neuregelung der Nutzungsbedingungen in Bildung und Wissenschaft vorgelegt worden. Die europaweite Diskussion um ein allgemeines umfassendes Nutzu</w:t>
      </w:r>
      <w:r w:rsidR="00D718B2">
        <w:t xml:space="preserve">ngsprivileg über </w:t>
      </w:r>
      <w:r>
        <w:t>eine Allgemeine Bildungs</w:t>
      </w:r>
      <w:r w:rsidR="00D718B2">
        <w:t>-</w:t>
      </w:r>
      <w:r>
        <w:t xml:space="preserve"> und Wissenschaftsschranke</w:t>
      </w:r>
      <w:r w:rsidR="0057378D">
        <w:t xml:space="preserve"> (vgl. Abschnitt </w:t>
      </w:r>
      <w:r w:rsidR="0057378D">
        <w:fldChar w:fldCharType="begin"/>
      </w:r>
      <w:r w:rsidR="0057378D">
        <w:instrText xml:space="preserve"> REF _Ref349146133 \r \h </w:instrText>
      </w:r>
      <w:r w:rsidR="0057378D">
        <w:fldChar w:fldCharType="separate"/>
      </w:r>
      <w:r w:rsidR="002B006B">
        <w:t>2.3</w:t>
      </w:r>
      <w:r w:rsidR="0057378D">
        <w:fldChar w:fldCharType="end"/>
      </w:r>
      <w:r w:rsidR="0057378D">
        <w:t>)</w:t>
      </w:r>
      <w:r>
        <w:t xml:space="preserve"> wurde von der EU-Kommission nicht aufgegriffen.</w:t>
      </w:r>
    </w:p>
    <w:p w14:paraId="2A7FD6A8" w14:textId="77777777" w:rsidR="00A613BD" w:rsidRDefault="00A613BD" w:rsidP="002E3DCE">
      <w:pPr>
        <w:pStyle w:val="berschrift1"/>
        <w:numPr>
          <w:ilvl w:val="0"/>
          <w:numId w:val="0"/>
        </w:numPr>
        <w:ind w:left="360" w:hanging="360"/>
      </w:pPr>
      <w:r>
        <w:t>Zusammenfassung</w:t>
      </w:r>
    </w:p>
    <w:p w14:paraId="055AB6B6" w14:textId="36C8AB28" w:rsidR="002E3DCE" w:rsidRDefault="00262375" w:rsidP="002E3DCE">
      <w:r>
        <w:t>Der EU-Kommission ist es</w:t>
      </w:r>
      <w:r w:rsidR="0046151D">
        <w:t>, trotz ein</w:t>
      </w:r>
      <w:r w:rsidR="002E3DCE">
        <w:t xml:space="preserve">iger positiv einzuschätzenden, </w:t>
      </w:r>
      <w:r w:rsidR="0046151D">
        <w:t>aber doch wieder stark eing</w:t>
      </w:r>
      <w:r w:rsidR="00CC2540">
        <w:t>eschränkten Weiterentwicklungen</w:t>
      </w:r>
      <w:r w:rsidR="00B26AC7">
        <w:t xml:space="preserve"> </w:t>
      </w:r>
      <w:r w:rsidR="0046151D">
        <w:t xml:space="preserve">insgesamt nicht gelungen, einen der gegenwärtigen Praxis der Produktion und Nutzung von Wissen und Information gerecht werdenden Vorschlag oder gar einen in die Zukunft weisenden Paradigmenwechsel für die Urheberrechtsregulierung vorzulegen. </w:t>
      </w:r>
      <w:r w:rsidR="007E2954">
        <w:t>Urheberrecht wird in erster Linie als Vehikel zur Beförderung der digitalen Wirtschaft angesehen</w:t>
      </w:r>
      <w:r w:rsidR="002B006B">
        <w:t>.</w:t>
      </w:r>
    </w:p>
    <w:p w14:paraId="3D10C5E2" w14:textId="7CB7A483" w:rsidR="004A4DB7" w:rsidRDefault="00E6634D" w:rsidP="002E3DCE">
      <w:r>
        <w:t xml:space="preserve">Auch die EU-Kommission, </w:t>
      </w:r>
      <w:r w:rsidR="00D718B2">
        <w:t>ebenso</w:t>
      </w:r>
      <w:r>
        <w:t xml:space="preserve"> das EU-Parlament und der EU-Rat, sollte</w:t>
      </w:r>
      <w:r w:rsidR="00083137">
        <w:t xml:space="preserve"> die offenen, auf freien Zugang zu und freier Nutzung von Wissen und Information setzenden Austauschformen</w:t>
      </w:r>
      <w:r w:rsidRPr="00E6634D">
        <w:t xml:space="preserve"> </w:t>
      </w:r>
      <w:r w:rsidR="000D11FD">
        <w:t>berücksichtigen</w:t>
      </w:r>
      <w:r w:rsidR="002E3DCE">
        <w:t xml:space="preserve"> – </w:t>
      </w:r>
      <w:r w:rsidR="00083137">
        <w:t>nicht nur, aber vor allem auch in Bildung und Wissenschaft</w:t>
      </w:r>
      <w:r w:rsidR="00A144BA">
        <w:t>.</w:t>
      </w:r>
      <w:r w:rsidR="00083137">
        <w:t xml:space="preserve"> Das Interesse von Gesellschaft und Wirtschaft daran </w:t>
      </w:r>
      <w:r w:rsidR="00D718B2">
        <w:t xml:space="preserve">sollte </w:t>
      </w:r>
      <w:r w:rsidR="00083137">
        <w:t xml:space="preserve"> höher gewichtet werden als der Schutz bestehender Geschäftsmodelle </w:t>
      </w:r>
      <w:r w:rsidR="00A144BA">
        <w:t xml:space="preserve">und </w:t>
      </w:r>
      <w:r w:rsidR="003701D0">
        <w:t xml:space="preserve">Finanzierungsformen </w:t>
      </w:r>
      <w:r w:rsidR="00083137">
        <w:t xml:space="preserve">der Publikationswirtschaft. </w:t>
      </w:r>
    </w:p>
    <w:p w14:paraId="04202921" w14:textId="478450A8" w:rsidR="00367BE8" w:rsidRPr="002E3DCE" w:rsidRDefault="00A144BA" w:rsidP="002E3DCE">
      <w:r>
        <w:br/>
      </w:r>
      <w:r w:rsidR="0098789C" w:rsidRPr="002E3DCE">
        <w:rPr>
          <w:szCs w:val="28"/>
        </w:rPr>
        <w:t>Im E</w:t>
      </w:r>
      <w:r w:rsidR="002E0C63" w:rsidRPr="002E3DCE">
        <w:rPr>
          <w:szCs w:val="28"/>
        </w:rPr>
        <w:t>inzelnen:</w:t>
      </w:r>
    </w:p>
    <w:p w14:paraId="60D695A0" w14:textId="175CE7FD" w:rsidR="002E3DCE" w:rsidRDefault="002E3DCE" w:rsidP="002E3DCE">
      <w:pPr>
        <w:pStyle w:val="Listenabsatz"/>
        <w:numPr>
          <w:ilvl w:val="0"/>
          <w:numId w:val="2"/>
        </w:numPr>
        <w:ind w:left="426" w:hanging="426"/>
      </w:pPr>
      <w:r>
        <w:t>D</w:t>
      </w:r>
      <w:r w:rsidR="003701D0">
        <w:t xml:space="preserve">er </w:t>
      </w:r>
      <w:r w:rsidR="00262375">
        <w:t xml:space="preserve">in </w:t>
      </w:r>
      <w:r w:rsidR="00EC62F1">
        <w:t>Art.</w:t>
      </w:r>
      <w:r w:rsidR="00CC2540">
        <w:t xml:space="preserve"> </w:t>
      </w:r>
      <w:r>
        <w:t xml:space="preserve">6 </w:t>
      </w:r>
      <w:r w:rsidR="00262375">
        <w:t xml:space="preserve">des Vorschlags – </w:t>
      </w:r>
      <w:r>
        <w:t xml:space="preserve">mit Referenz auf InfoSoc </w:t>
      </w:r>
      <w:r w:rsidR="006579FE">
        <w:t xml:space="preserve">2001, </w:t>
      </w:r>
      <w:r w:rsidR="00EC62F1">
        <w:t>Art.</w:t>
      </w:r>
      <w:r w:rsidR="00CC2540">
        <w:t xml:space="preserve"> </w:t>
      </w:r>
      <w:r w:rsidR="00176EA7">
        <w:t>5, 5</w:t>
      </w:r>
      <w:r w:rsidR="00262375">
        <w:t xml:space="preserve"> und </w:t>
      </w:r>
      <w:r w:rsidR="00EC62F1">
        <w:t>Art.</w:t>
      </w:r>
      <w:r w:rsidR="00CC2540">
        <w:t xml:space="preserve"> </w:t>
      </w:r>
      <w:r w:rsidR="00262375">
        <w:t xml:space="preserve">6, 4, para 3 </w:t>
      </w:r>
      <w:r w:rsidR="00262375">
        <w:softHyphen/>
        <w:t>–</w:t>
      </w:r>
      <w:r>
        <w:t xml:space="preserve"> </w:t>
      </w:r>
      <w:r w:rsidR="00367BE8" w:rsidRPr="002E3DCE">
        <w:t>weiter bestehende Schutz</w:t>
      </w:r>
      <w:r w:rsidR="00B26AC7">
        <w:t xml:space="preserve"> </w:t>
      </w:r>
      <w:r w:rsidR="00367BE8" w:rsidRPr="002E3DCE">
        <w:t>t</w:t>
      </w:r>
      <w:r w:rsidR="003701D0">
        <w:t>echnischer Schutzmaßnahmen (</w:t>
      </w:r>
      <w:r w:rsidR="00262375">
        <w:t>Digital Rights Management –</w:t>
      </w:r>
      <w:r w:rsidR="003701D0">
        <w:t xml:space="preserve">DRM) </w:t>
      </w:r>
      <w:r w:rsidR="00367BE8" w:rsidRPr="002E3DCE">
        <w:t>und damit die Ermunterung zum Einsatz dieser Maßnahmen ist in Bildung un</w:t>
      </w:r>
      <w:r w:rsidR="003701D0">
        <w:t>d Wissenschaft nicht angemessen</w:t>
      </w:r>
      <w:r w:rsidR="00367BE8" w:rsidRPr="002E3DCE">
        <w:t>. Die durch Schrankenbestimmung</w:t>
      </w:r>
      <w:r>
        <w:t>e</w:t>
      </w:r>
      <w:r w:rsidR="00367BE8" w:rsidRPr="002E3DCE">
        <w:t>n legitimierten Nutzungsformen für</w:t>
      </w:r>
      <w:r w:rsidR="00B26AC7">
        <w:t xml:space="preserve"> </w:t>
      </w:r>
      <w:r w:rsidR="00367BE8" w:rsidRPr="002E3DCE">
        <w:t>Bildung und Wissenschaft sollten nicht von freiwilligen Maßna</w:t>
      </w:r>
      <w:r w:rsidR="003701D0">
        <w:t xml:space="preserve">hmen der </w:t>
      </w:r>
      <w:r w:rsidR="00B70658">
        <w:t>Rechtsinhaber</w:t>
      </w:r>
      <w:r w:rsidR="003701D0">
        <w:t xml:space="preserve"> abhängen</w:t>
      </w:r>
      <w:r w:rsidR="00367BE8" w:rsidRPr="002E3DCE">
        <w:t>, sondern sollten alleine durch das Recht direkt garantiert werden.</w:t>
      </w:r>
      <w:r>
        <w:t xml:space="preserve"> (</w:t>
      </w:r>
      <w:r w:rsidR="00262375">
        <w:t>ausführlicher</w:t>
      </w:r>
      <w:r>
        <w:t xml:space="preserve"> Abschnitt </w:t>
      </w:r>
      <w:r w:rsidR="00557724">
        <w:fldChar w:fldCharType="begin"/>
      </w:r>
      <w:r>
        <w:instrText xml:space="preserve"> REF technischerSchutz \r \h </w:instrText>
      </w:r>
      <w:r w:rsidR="00557724">
        <w:fldChar w:fldCharType="separate"/>
      </w:r>
      <w:r w:rsidR="002B006B">
        <w:t>1.1</w:t>
      </w:r>
      <w:r w:rsidR="00557724">
        <w:fldChar w:fldCharType="end"/>
      </w:r>
      <w:r>
        <w:t>)</w:t>
      </w:r>
    </w:p>
    <w:p w14:paraId="233715A3" w14:textId="1B62E543" w:rsidR="00C85D9A" w:rsidRDefault="002E3DCE" w:rsidP="00185B8F">
      <w:pPr>
        <w:pStyle w:val="Listenabsatz"/>
        <w:numPr>
          <w:ilvl w:val="0"/>
          <w:numId w:val="2"/>
        </w:numPr>
        <w:ind w:left="426" w:hanging="426"/>
      </w:pPr>
      <w:r>
        <w:t>Die</w:t>
      </w:r>
      <w:r w:rsidRPr="002E3DCE">
        <w:t xml:space="preserve"> Einführung einer Ausn</w:t>
      </w:r>
      <w:r>
        <w:t>ahme</w:t>
      </w:r>
      <w:r w:rsidR="006579FE">
        <w:t xml:space="preserve">/Schrankenbestimmung </w:t>
      </w:r>
      <w:r w:rsidR="00462680">
        <w:t xml:space="preserve">für Text and Data </w:t>
      </w:r>
      <w:r w:rsidR="00176EA7">
        <w:rPr>
          <w:rFonts w:eastAsia="Times New Roman" w:cs="Times New Roman"/>
        </w:rPr>
        <w:t>M</w:t>
      </w:r>
      <w:r w:rsidR="00462680">
        <w:rPr>
          <w:rFonts w:eastAsia="Times New Roman" w:cs="Times New Roman"/>
        </w:rPr>
        <w:t>ining</w:t>
      </w:r>
      <w:r w:rsidR="00462680" w:rsidRPr="00462680">
        <w:rPr>
          <w:rFonts w:eastAsia="Times New Roman" w:cs="Times New Roman"/>
        </w:rPr>
        <w:t xml:space="preserve"> </w:t>
      </w:r>
      <w:r w:rsidR="00BE168B">
        <w:t xml:space="preserve">(TDM) </w:t>
      </w:r>
      <w:r w:rsidR="00262375">
        <w:t>im EU-Vorschlag</w:t>
      </w:r>
      <w:r w:rsidR="00176EA7">
        <w:t>,</w:t>
      </w:r>
      <w:r w:rsidR="00BE168B">
        <w:t xml:space="preserve"> </w:t>
      </w:r>
      <w:r w:rsidR="00EC62F1">
        <w:t>Art.</w:t>
      </w:r>
      <w:r w:rsidR="00176EA7">
        <w:t xml:space="preserve"> </w:t>
      </w:r>
      <w:r w:rsidR="00BE168B">
        <w:t xml:space="preserve">3 </w:t>
      </w:r>
      <w:r w:rsidR="004F286A">
        <w:t>wird aus Gründen der Rechtssicherheit begrüßt. Fraglich allerdings, ob eine solche Schranke an sich überhaupt nötig ist. Aus dem Recht zu lesen</w:t>
      </w:r>
      <w:r w:rsidR="006579FE">
        <w:t xml:space="preserve"> </w:t>
      </w:r>
      <w:r w:rsidR="004A4DB7">
        <w:t>(</w:t>
      </w:r>
      <w:r w:rsidR="004A4DB7" w:rsidRPr="006579FE">
        <w:rPr>
          <w:i/>
        </w:rPr>
        <w:t>read</w:t>
      </w:r>
      <w:r w:rsidR="004A4DB7">
        <w:t>)</w:t>
      </w:r>
      <w:r w:rsidR="004F286A">
        <w:t xml:space="preserve"> (r2r) sollte auch das </w:t>
      </w:r>
      <w:r w:rsidR="004A4DB7">
        <w:t>Recht zum„mining</w:t>
      </w:r>
      <w:r w:rsidR="00D21A75">
        <w:t>“ (r2m</w:t>
      </w:r>
      <w:r w:rsidR="004F286A">
        <w:t>) folgen. Die</w:t>
      </w:r>
      <w:r w:rsidRPr="002E3DCE">
        <w:t xml:space="preserve"> Beschränkung der TDM-Nutzung auf „scientific research“ </w:t>
      </w:r>
      <w:r w:rsidR="004F286A">
        <w:t>und damit die Auskl</w:t>
      </w:r>
      <w:r w:rsidR="003701D0">
        <w:t>a</w:t>
      </w:r>
      <w:r w:rsidR="004F286A">
        <w:t>mmerung kommerziellen TDM</w:t>
      </w:r>
      <w:r w:rsidR="006579FE">
        <w:t>s</w:t>
      </w:r>
      <w:r w:rsidR="004F286A">
        <w:t xml:space="preserve"> wird </w:t>
      </w:r>
      <w:r w:rsidRPr="002E3DCE">
        <w:t>für nicht gerechtfertigt und nicht für zielführend</w:t>
      </w:r>
      <w:r w:rsidR="004F286A">
        <w:t xml:space="preserve"> gehalten</w:t>
      </w:r>
      <w:r w:rsidRPr="002E3DCE">
        <w:t>.</w:t>
      </w:r>
      <w:r w:rsidR="00185B8F">
        <w:t xml:space="preserve"> </w:t>
      </w:r>
      <w:r w:rsidR="006579FE">
        <w:t xml:space="preserve">Genutzte TDM-Korpora sollten </w:t>
      </w:r>
      <w:r w:rsidR="00CC2540">
        <w:t xml:space="preserve">nicht nur </w:t>
      </w:r>
      <w:r w:rsidR="006579FE">
        <w:t xml:space="preserve">archiviert </w:t>
      </w:r>
      <w:r w:rsidR="00CC2540">
        <w:t xml:space="preserve">(i.d.R. von Bibliotheken), sondern auch </w:t>
      </w:r>
      <w:r w:rsidR="006579FE">
        <w:t xml:space="preserve">(nur) für eine anfällige Qualitätsüberprüfung verfügbar gemacht werden. </w:t>
      </w:r>
      <w:r w:rsidR="00185B8F">
        <w:t xml:space="preserve">(ausführlicher vgl. Abschnitt </w:t>
      </w:r>
      <w:r w:rsidR="00557724">
        <w:fldChar w:fldCharType="begin"/>
      </w:r>
      <w:r w:rsidR="00185B8F">
        <w:instrText xml:space="preserve"> REF tdm \r \h </w:instrText>
      </w:r>
      <w:r w:rsidR="00557724">
        <w:fldChar w:fldCharType="separate"/>
      </w:r>
      <w:r w:rsidR="002B006B">
        <w:t>1.2</w:t>
      </w:r>
      <w:r w:rsidR="00557724">
        <w:fldChar w:fldCharType="end"/>
      </w:r>
      <w:r w:rsidR="00185B8F">
        <w:t>)</w:t>
      </w:r>
    </w:p>
    <w:p w14:paraId="1345C105" w14:textId="1C4E6783" w:rsidR="003701D0" w:rsidRDefault="00C85D9A" w:rsidP="00CC2540">
      <w:pPr>
        <w:pStyle w:val="Listenabsatz"/>
        <w:numPr>
          <w:ilvl w:val="0"/>
          <w:numId w:val="2"/>
        </w:numPr>
        <w:ind w:left="426" w:hanging="426"/>
      </w:pPr>
      <w:r>
        <w:t>Die Regelungen für „</w:t>
      </w:r>
      <w:r w:rsidRPr="00597E96">
        <w:t>digital and cross-border teaching activities“</w:t>
      </w:r>
      <w:r>
        <w:t xml:space="preserve"> </w:t>
      </w:r>
      <w:r w:rsidR="006579FE">
        <w:t xml:space="preserve">im EU-Vorschlag, </w:t>
      </w:r>
      <w:r w:rsidR="00BE168B">
        <w:t xml:space="preserve"> </w:t>
      </w:r>
      <w:r w:rsidR="00EC62F1">
        <w:t xml:space="preserve">Art. </w:t>
      </w:r>
      <w:r w:rsidR="00BE168B">
        <w:t xml:space="preserve">4 </w:t>
      </w:r>
      <w:r>
        <w:t>für Ausbildungseinrichtungen auf allen Ebenen werden im Prinzip begrüßt, insbesondere auch die Nutzung für die</w:t>
      </w:r>
      <w:r w:rsidR="003701D0">
        <w:t xml:space="preserve"> die</w:t>
      </w:r>
      <w:r>
        <w:t xml:space="preserve"> Lehre begleiten</w:t>
      </w:r>
      <w:r w:rsidR="0051657F">
        <w:t>d</w:t>
      </w:r>
      <w:r>
        <w:t xml:space="preserve">en Aktivitäten und Prüfungssituationen. Letzteres sollte aber in </w:t>
      </w:r>
      <w:r w:rsidR="00EC62F1">
        <w:t xml:space="preserve">Art. </w:t>
      </w:r>
      <w:r>
        <w:t xml:space="preserve">4 </w:t>
      </w:r>
      <w:r w:rsidR="00262375">
        <w:t xml:space="preserve">explizit </w:t>
      </w:r>
      <w:r w:rsidR="006579FE">
        <w:t>gesichert</w:t>
      </w:r>
      <w:r>
        <w:t xml:space="preserve"> werden. </w:t>
      </w:r>
      <w:r w:rsidR="00CC2540">
        <w:br/>
      </w:r>
      <w:r>
        <w:lastRenderedPageBreak/>
        <w:t>Ein Fortschritt ist</w:t>
      </w:r>
      <w:r w:rsidR="00262375">
        <w:t xml:space="preserve"> es</w:t>
      </w:r>
      <w:r>
        <w:t>, dass jetzt der externe</w:t>
      </w:r>
      <w:r w:rsidR="003701D0">
        <w:t>,</w:t>
      </w:r>
      <w:r>
        <w:t xml:space="preserve"> gesicherte und authorisierte Zugriff auf die Materialien der Bibliothek </w:t>
      </w:r>
      <w:r w:rsidR="006579FE">
        <w:t>nicht ausgeschlossen</w:t>
      </w:r>
      <w:r>
        <w:t xml:space="preserve"> ist. </w:t>
      </w:r>
      <w:r w:rsidR="00CC2540">
        <w:br/>
      </w:r>
      <w:r>
        <w:t xml:space="preserve">Die Einschränkung, dass der </w:t>
      </w:r>
      <w:r w:rsidRPr="00F92089">
        <w:t xml:space="preserve">externe Zugriff nur aus dem Land, in dem die Ausbildungseinrichtung besteht, erlaubt </w:t>
      </w:r>
      <w:r w:rsidR="003701D0">
        <w:t>sei</w:t>
      </w:r>
      <w:r>
        <w:t xml:space="preserve">, </w:t>
      </w:r>
      <w:r w:rsidR="00262375">
        <w:t>ist</w:t>
      </w:r>
      <w:r w:rsidR="00D21A75">
        <w:t xml:space="preserve"> </w:t>
      </w:r>
      <w:r w:rsidR="00262375">
        <w:t>allerdings</w:t>
      </w:r>
      <w:r w:rsidR="00D21A75">
        <w:t xml:space="preserve"> </w:t>
      </w:r>
      <w:r w:rsidR="00262375">
        <w:t xml:space="preserve">mit </w:t>
      </w:r>
      <w:r w:rsidR="00D21A75">
        <w:t>der Idee des</w:t>
      </w:r>
      <w:r w:rsidR="00176EA7">
        <w:t xml:space="preserve"> „cross-border-t</w:t>
      </w:r>
      <w:r>
        <w:t xml:space="preserve">eaching“ nicht vereinbar. </w:t>
      </w:r>
      <w:r w:rsidR="00CC2540">
        <w:br/>
      </w:r>
      <w:r>
        <w:t xml:space="preserve">In </w:t>
      </w:r>
      <w:r w:rsidR="00EC62F1">
        <w:t>Art.</w:t>
      </w:r>
      <w:r w:rsidR="00176EA7">
        <w:t xml:space="preserve"> </w:t>
      </w:r>
      <w:r>
        <w:t>4, wie auch in anderen Artikel</w:t>
      </w:r>
      <w:r w:rsidR="003701D0">
        <w:t>n</w:t>
      </w:r>
      <w:r>
        <w:t>, ist eine zu kri</w:t>
      </w:r>
      <w:r w:rsidR="0051657F">
        <w:t>ti</w:t>
      </w:r>
      <w:r>
        <w:t xml:space="preserve">sierende Tendenz erkennbar, die Priorität einer rechtlich verbindlichen Schrankenregelung zugunsten von Lizenzvereinbarungen auszuhebeln. </w:t>
      </w:r>
      <w:r w:rsidR="00CC2540">
        <w:br/>
      </w:r>
      <w:r w:rsidR="003701D0">
        <w:t xml:space="preserve">Die durch Art. 4, </w:t>
      </w:r>
      <w:r w:rsidRPr="00C85D9A">
        <w:t>4 gegebene Möglichkeit s</w:t>
      </w:r>
      <w:r w:rsidR="003701D0">
        <w:t xml:space="preserve">ollte bei </w:t>
      </w:r>
      <w:r w:rsidR="00EC62F1">
        <w:t xml:space="preserve">nationalen </w:t>
      </w:r>
      <w:r w:rsidR="00262375">
        <w:t>Umsetzung</w:t>
      </w:r>
      <w:r w:rsidR="00EC62F1">
        <w:t>en</w:t>
      </w:r>
      <w:r w:rsidR="00262375">
        <w:t xml:space="preserve"> </w:t>
      </w:r>
      <w:r>
        <w:t>genutzt werden, so</w:t>
      </w:r>
      <w:r w:rsidR="001B4A89">
        <w:t xml:space="preserve"> dass</w:t>
      </w:r>
      <w:r w:rsidRPr="00C85D9A">
        <w:t xml:space="preserve"> </w:t>
      </w:r>
      <w:r>
        <w:t xml:space="preserve">für </w:t>
      </w:r>
      <w:r w:rsidRPr="00C85D9A">
        <w:t xml:space="preserve">Ausbildungszwecke eine vergütungsfreie Nutzung </w:t>
      </w:r>
      <w:r>
        <w:t>vorgesehen werden könnte.</w:t>
      </w:r>
      <w:r w:rsidR="00185B8F">
        <w:t xml:space="preserve"> (ausführlicher vgl. Abschnitt</w:t>
      </w:r>
      <w:r w:rsidR="00176EA7">
        <w:t xml:space="preserve"> </w:t>
      </w:r>
      <w:r w:rsidR="00176EA7">
        <w:fldChar w:fldCharType="begin"/>
      </w:r>
      <w:r w:rsidR="00176EA7">
        <w:instrText xml:space="preserve"> REF _Ref349657568 \r \h </w:instrText>
      </w:r>
      <w:r w:rsidR="00176EA7">
        <w:fldChar w:fldCharType="separate"/>
      </w:r>
      <w:r w:rsidR="002B006B">
        <w:t>1.3</w:t>
      </w:r>
      <w:r w:rsidR="00176EA7">
        <w:fldChar w:fldCharType="end"/>
      </w:r>
      <w:r w:rsidR="00176EA7">
        <w:t xml:space="preserve"> und </w:t>
      </w:r>
      <w:r w:rsidR="00176EA7">
        <w:fldChar w:fldCharType="begin"/>
      </w:r>
      <w:r w:rsidR="00176EA7">
        <w:instrText xml:space="preserve"> REF _Ref349408320 \r \h </w:instrText>
      </w:r>
      <w:r w:rsidR="00176EA7">
        <w:fldChar w:fldCharType="separate"/>
      </w:r>
      <w:r w:rsidR="002B006B">
        <w:t>2.6</w:t>
      </w:r>
      <w:r w:rsidR="00176EA7">
        <w:fldChar w:fldCharType="end"/>
      </w:r>
      <w:r w:rsidR="00185B8F">
        <w:t>)</w:t>
      </w:r>
    </w:p>
    <w:p w14:paraId="760A9622" w14:textId="6798CEA6" w:rsidR="00C85D9A" w:rsidRDefault="00C85D9A" w:rsidP="003701D0">
      <w:pPr>
        <w:pStyle w:val="Listenabsatz"/>
        <w:numPr>
          <w:ilvl w:val="0"/>
          <w:numId w:val="2"/>
        </w:numPr>
        <w:ind w:left="426" w:hanging="426"/>
      </w:pPr>
      <w:r>
        <w:t>Die EU sollte aus der Begünstigung von behinderten Personen durch Art</w:t>
      </w:r>
      <w:r w:rsidR="00EC62F1">
        <w:t>.</w:t>
      </w:r>
      <w:r>
        <w:t xml:space="preserve"> 4 die Konsequenz ziehen, die (bislang nur optionale) Schrankenregelung in </w:t>
      </w:r>
      <w:r w:rsidR="003701D0">
        <w:t xml:space="preserve">InfoSoc 2001 </w:t>
      </w:r>
      <w:r w:rsidR="00EC62F1">
        <w:t xml:space="preserve">Art. </w:t>
      </w:r>
      <w:r>
        <w:t>5, 3, b auch als</w:t>
      </w:r>
      <w:r w:rsidR="00B26AC7">
        <w:t xml:space="preserve"> </w:t>
      </w:r>
      <w:r>
        <w:t xml:space="preserve">obligatorisch </w:t>
      </w:r>
      <w:r w:rsidR="003701D0">
        <w:t xml:space="preserve">für Wissenschaft </w:t>
      </w:r>
      <w:r>
        <w:t>zu erklären.</w:t>
      </w:r>
    </w:p>
    <w:p w14:paraId="0F2E94D5" w14:textId="6879B3BE" w:rsidR="00C85D9A" w:rsidRDefault="00185B8F" w:rsidP="00C85D9A">
      <w:pPr>
        <w:pStyle w:val="Listenabsatz"/>
        <w:numPr>
          <w:ilvl w:val="0"/>
          <w:numId w:val="2"/>
        </w:numPr>
        <w:ind w:left="426" w:hanging="426"/>
      </w:pPr>
      <w:r>
        <w:t xml:space="preserve">Das durch </w:t>
      </w:r>
      <w:r w:rsidR="00262375">
        <w:t>den EU-Vorschlag</w:t>
      </w:r>
      <w:r w:rsidR="007A4FBE">
        <w:t xml:space="preserve"> </w:t>
      </w:r>
      <w:r w:rsidR="00BE168B">
        <w:t>Art</w:t>
      </w:r>
      <w:r w:rsidR="00EC62F1">
        <w:t>.</w:t>
      </w:r>
      <w:r w:rsidR="00BE168B">
        <w:t xml:space="preserve"> </w:t>
      </w:r>
      <w:r>
        <w:t>5 eingeführte (an sich selbstverständliche) Recht auf digitale Vervielfältigungen</w:t>
      </w:r>
      <w:r w:rsidR="00B26AC7">
        <w:t xml:space="preserve"> </w:t>
      </w:r>
      <w:r>
        <w:t xml:space="preserve">von im Bestand der Bibliotheken vorhandenen Werken zur Bewahrung des kulturellen Erbes wird aus Gründen der Rechtssicherheit begrüßt. Der Vorschlag versäumt es aber </w:t>
      </w:r>
      <w:r w:rsidR="003701D0">
        <w:t>festzulegen, in welcher Form</w:t>
      </w:r>
      <w:r>
        <w:t xml:space="preserve"> diese neuen Vervielfältigungen auch genutzt werden können. (ausführlicher vgl. Abschnitt </w:t>
      </w:r>
      <w:r w:rsidR="00557724">
        <w:fldChar w:fldCharType="begin"/>
      </w:r>
      <w:r>
        <w:instrText xml:space="preserve"> REF kulturellsErbe \r \h </w:instrText>
      </w:r>
      <w:r w:rsidR="00557724">
        <w:fldChar w:fldCharType="separate"/>
      </w:r>
      <w:r w:rsidR="002B006B">
        <w:t>1.4</w:t>
      </w:r>
      <w:r w:rsidR="00557724">
        <w:fldChar w:fldCharType="end"/>
      </w:r>
      <w:r>
        <w:t>)</w:t>
      </w:r>
    </w:p>
    <w:p w14:paraId="09107A3C" w14:textId="3AD9BEA6" w:rsidR="00185B8F" w:rsidRDefault="00185B8F" w:rsidP="00C85D9A">
      <w:pPr>
        <w:pStyle w:val="Listenabsatz"/>
        <w:numPr>
          <w:ilvl w:val="0"/>
          <w:numId w:val="2"/>
        </w:numPr>
        <w:ind w:left="426" w:hanging="426"/>
      </w:pPr>
      <w:r>
        <w:t xml:space="preserve">Für die Nutzung vergriffener Werke soll </w:t>
      </w:r>
      <w:r w:rsidR="00C51891">
        <w:t xml:space="preserve">(wie schon in Deutschland geschehen) </w:t>
      </w:r>
      <w:r w:rsidR="00EC62F1">
        <w:t>im EU-</w:t>
      </w:r>
      <w:r w:rsidR="007A4FBE">
        <w:t>Vorschlag</w:t>
      </w:r>
      <w:r w:rsidR="00BE168B">
        <w:t xml:space="preserve"> Art</w:t>
      </w:r>
      <w:r w:rsidR="00EC62F1">
        <w:t>.</w:t>
      </w:r>
      <w:r w:rsidR="00BE168B">
        <w:t xml:space="preserve"> 7 </w:t>
      </w:r>
      <w:r w:rsidR="003701D0">
        <w:t>eine</w:t>
      </w:r>
      <w:r>
        <w:t xml:space="preserve"> die </w:t>
      </w:r>
      <w:r w:rsidR="003701D0">
        <w:t>Regelung für</w:t>
      </w:r>
      <w:r w:rsidR="00F845DF">
        <w:t xml:space="preserve"> verwaiste</w:t>
      </w:r>
      <w:r>
        <w:t xml:space="preserve"> Werke</w:t>
      </w:r>
      <w:r w:rsidR="00C51891">
        <w:t xml:space="preserve"> ergänzende Schrankenregelung zur Nutzung von ve</w:t>
      </w:r>
      <w:r w:rsidR="003701D0">
        <w:t>r</w:t>
      </w:r>
      <w:r w:rsidR="00C51891">
        <w:t>griffenen Werken eingeführt werden. Dies ist im Prinzip zu begrüßen. Jedoch ist dieser</w:t>
      </w:r>
      <w:r w:rsidR="00BE168B">
        <w:t xml:space="preserve"> Artikel, vor allem bezüglich der Lizenzierungsbedingungen</w:t>
      </w:r>
      <w:r w:rsidR="00EC62F1">
        <w:t>,</w:t>
      </w:r>
      <w:r w:rsidR="00BE168B">
        <w:t xml:space="preserve"> so komplex und unverständlich angelegt, dass er kaum Klarheit für die Nutzung vergriffener Werke schaffen kann.</w:t>
      </w:r>
      <w:r w:rsidR="00DC40E0">
        <w:t xml:space="preserve"> (ausführlicher vgl. Abschnitt </w:t>
      </w:r>
      <w:r w:rsidR="00557724">
        <w:fldChar w:fldCharType="begin"/>
      </w:r>
      <w:r w:rsidR="00DC40E0">
        <w:instrText xml:space="preserve"> REF vergriffeneWerke \r \h </w:instrText>
      </w:r>
      <w:r w:rsidR="00557724">
        <w:fldChar w:fldCharType="separate"/>
      </w:r>
      <w:r w:rsidR="002B006B">
        <w:t>1.5</w:t>
      </w:r>
      <w:r w:rsidR="00557724">
        <w:fldChar w:fldCharType="end"/>
      </w:r>
      <w:r w:rsidR="00DC40E0">
        <w:t>)</w:t>
      </w:r>
      <w:r w:rsidR="00EC62F1">
        <w:t xml:space="preserve"> </w:t>
      </w:r>
    </w:p>
    <w:p w14:paraId="582E14E1" w14:textId="785A8707" w:rsidR="00F41EF6" w:rsidRDefault="00F41EF6" w:rsidP="00C85D9A">
      <w:pPr>
        <w:pStyle w:val="Listenabsatz"/>
        <w:numPr>
          <w:ilvl w:val="0"/>
          <w:numId w:val="2"/>
        </w:numPr>
        <w:ind w:left="426" w:hanging="426"/>
      </w:pPr>
      <w:r>
        <w:t xml:space="preserve">In </w:t>
      </w:r>
      <w:r w:rsidR="0095035B">
        <w:t>Kapitel</w:t>
      </w:r>
      <w:r>
        <w:t xml:space="preserve"> </w:t>
      </w:r>
      <w:r w:rsidR="00557724">
        <w:fldChar w:fldCharType="begin"/>
      </w:r>
      <w:r>
        <w:instrText xml:space="preserve"> REF defizite \r \h </w:instrText>
      </w:r>
      <w:r w:rsidR="00557724">
        <w:fldChar w:fldCharType="separate"/>
      </w:r>
      <w:r w:rsidR="002B006B">
        <w:t>2</w:t>
      </w:r>
      <w:r w:rsidR="00557724">
        <w:fldChar w:fldCharType="end"/>
      </w:r>
      <w:r w:rsidR="002C23C2">
        <w:t xml:space="preserve"> werden weitere Kritikpunkte</w:t>
      </w:r>
      <w:r w:rsidR="00EC62F1">
        <w:t xml:space="preserve"> aufgeführt</w:t>
      </w:r>
      <w:r>
        <w:t>:</w:t>
      </w:r>
      <w:r w:rsidR="003701D0">
        <w:br/>
      </w:r>
    </w:p>
    <w:p w14:paraId="7AE3E7B5" w14:textId="11DC36CC" w:rsidR="00F41EF6" w:rsidRDefault="00F41EF6" w:rsidP="00A81E87">
      <w:pPr>
        <w:pStyle w:val="Listenabsatz"/>
        <w:numPr>
          <w:ilvl w:val="0"/>
          <w:numId w:val="37"/>
        </w:numPr>
      </w:pPr>
      <w:r>
        <w:t xml:space="preserve">Es ist nicht klar, welche </w:t>
      </w:r>
      <w:r w:rsidR="00EC62F1">
        <w:t xml:space="preserve">bisherigen </w:t>
      </w:r>
      <w:r>
        <w:t>Schrankenbedingungen weiter gelten sollen bzw. welche n</w:t>
      </w:r>
      <w:r w:rsidR="003701D0">
        <w:t>un optional bleiben un</w:t>
      </w:r>
      <w:r>
        <w:t>d welche obligatorisch sein sollen. (vgl. Abschnitt</w:t>
      </w:r>
      <w:r w:rsidR="00F04698">
        <w:t xml:space="preserve"> </w:t>
      </w:r>
      <w:r w:rsidR="00F04698">
        <w:fldChar w:fldCharType="begin"/>
      </w:r>
      <w:r w:rsidR="00F04698">
        <w:instrText xml:space="preserve"> REF optional \r \h </w:instrText>
      </w:r>
      <w:r w:rsidR="00F04698">
        <w:fldChar w:fldCharType="separate"/>
      </w:r>
      <w:r w:rsidR="002B006B">
        <w:t>2.1</w:t>
      </w:r>
      <w:r w:rsidR="00F04698">
        <w:fldChar w:fldCharType="end"/>
      </w:r>
      <w:r>
        <w:t>)</w:t>
      </w:r>
    </w:p>
    <w:p w14:paraId="143D0125" w14:textId="4950E980" w:rsidR="00A613BD" w:rsidRDefault="003701D0" w:rsidP="00A81E87">
      <w:pPr>
        <w:pStyle w:val="Listenabsatz"/>
        <w:numPr>
          <w:ilvl w:val="0"/>
          <w:numId w:val="37"/>
        </w:numPr>
      </w:pPr>
      <w:r>
        <w:t xml:space="preserve">Notwendige </w:t>
      </w:r>
      <w:r w:rsidR="00F41EF6">
        <w:t xml:space="preserve">Regelungen für Ausleihe und Versand digitaler Objekte </w:t>
      </w:r>
      <w:r w:rsidR="00EC62F1">
        <w:t xml:space="preserve">(e-Books) </w:t>
      </w:r>
      <w:r w:rsidR="00F41EF6">
        <w:t>durch</w:t>
      </w:r>
      <w:r w:rsidR="00B26AC7">
        <w:t xml:space="preserve"> </w:t>
      </w:r>
      <w:r w:rsidR="00F41EF6">
        <w:t xml:space="preserve">Bibliotheken bleiben ausgeklammert. (vgl. Abschnitt </w:t>
      </w:r>
      <w:r w:rsidR="00557724">
        <w:fldChar w:fldCharType="begin"/>
      </w:r>
      <w:r w:rsidR="00F41EF6">
        <w:instrText xml:space="preserve"> REF ausleiheversand \r \h </w:instrText>
      </w:r>
      <w:r w:rsidR="00557724">
        <w:fldChar w:fldCharType="separate"/>
      </w:r>
      <w:r w:rsidR="002B006B">
        <w:t>2.1</w:t>
      </w:r>
      <w:r w:rsidR="00557724">
        <w:fldChar w:fldCharType="end"/>
      </w:r>
      <w:r w:rsidR="00F41EF6">
        <w:t>)</w:t>
      </w:r>
    </w:p>
    <w:p w14:paraId="03619B9F" w14:textId="401AB701" w:rsidR="00F41EF6" w:rsidRDefault="00F41EF6" w:rsidP="00A81E87">
      <w:pPr>
        <w:pStyle w:val="Listenabsatz"/>
        <w:numPr>
          <w:ilvl w:val="0"/>
          <w:numId w:val="37"/>
        </w:numPr>
      </w:pPr>
      <w:r>
        <w:t xml:space="preserve">Der Ankündigung zur Senkung von Transaktionskosten für die Wissenschaft folgen keine konkreten Maßnahmen. (vgl. Abschnitt </w:t>
      </w:r>
      <w:r w:rsidR="00557724">
        <w:fldChar w:fldCharType="begin"/>
      </w:r>
      <w:r>
        <w:instrText xml:space="preserve"> REF transaktionskosten \r \h </w:instrText>
      </w:r>
      <w:r w:rsidR="00557724">
        <w:fldChar w:fldCharType="separate"/>
      </w:r>
      <w:r w:rsidR="002B006B">
        <w:t>2.2</w:t>
      </w:r>
      <w:r w:rsidR="00557724">
        <w:fldChar w:fldCharType="end"/>
      </w:r>
      <w:r>
        <w:t>)</w:t>
      </w:r>
    </w:p>
    <w:p w14:paraId="529BD88F" w14:textId="0F4E6BA9" w:rsidR="00F41EF6" w:rsidRDefault="00F41EF6" w:rsidP="00A81E87">
      <w:pPr>
        <w:pStyle w:val="Listenabsatz"/>
        <w:numPr>
          <w:ilvl w:val="0"/>
          <w:numId w:val="37"/>
        </w:numPr>
      </w:pPr>
      <w:r>
        <w:t>Es liegt kein</w:t>
      </w:r>
      <w:r w:rsidR="00647BF7">
        <w:t xml:space="preserve"> Vorschlag vor</w:t>
      </w:r>
      <w:r w:rsidR="003701D0">
        <w:t>, wie die zu allgemein gehalten</w:t>
      </w:r>
      <w:r w:rsidR="00647BF7">
        <w:t xml:space="preserve">e Schrankenregelung aus InfoSOc 5, 3, a durch eine </w:t>
      </w:r>
      <w:r w:rsidR="001B4A89">
        <w:t>Allgemeine Bildungs- und Wissenschaftss</w:t>
      </w:r>
      <w:r w:rsidR="00647BF7">
        <w:t>chranke (ABWS)</w:t>
      </w:r>
      <w:r w:rsidR="00B26AC7">
        <w:t xml:space="preserve"> </w:t>
      </w:r>
      <w:r w:rsidR="00647BF7">
        <w:t>zu ersetzen</w:t>
      </w:r>
      <w:r w:rsidR="003701D0">
        <w:t xml:space="preserve"> ist</w:t>
      </w:r>
      <w:r w:rsidR="00647BF7">
        <w:t>. (vgl. Abschnitt</w:t>
      </w:r>
      <w:r w:rsidR="00EC62F1">
        <w:t xml:space="preserve"> </w:t>
      </w:r>
      <w:r w:rsidR="00EC62F1">
        <w:fldChar w:fldCharType="begin"/>
      </w:r>
      <w:r w:rsidR="00EC62F1">
        <w:instrText xml:space="preserve"> REF _Ref349146133 \r \h </w:instrText>
      </w:r>
      <w:r w:rsidR="00EC62F1">
        <w:fldChar w:fldCharType="separate"/>
      </w:r>
      <w:r w:rsidR="002B006B">
        <w:t>2.3</w:t>
      </w:r>
      <w:r w:rsidR="00EC62F1">
        <w:fldChar w:fldCharType="end"/>
      </w:r>
      <w:r w:rsidR="00EC62F1">
        <w:t>)</w:t>
      </w:r>
    </w:p>
    <w:p w14:paraId="3FCFCFD3" w14:textId="12A7B3E5" w:rsidR="00647BF7" w:rsidRDefault="00647BF7" w:rsidP="00A81E87">
      <w:pPr>
        <w:pStyle w:val="Listenabsatz"/>
        <w:numPr>
          <w:ilvl w:val="0"/>
          <w:numId w:val="37"/>
        </w:numPr>
      </w:pPr>
      <w:r>
        <w:t xml:space="preserve">Die Einführung eines Leistungsschutzrechts für Presseverleger wird </w:t>
      </w:r>
      <w:r w:rsidR="00EC62F1">
        <w:t xml:space="preserve">nicht zuletzt </w:t>
      </w:r>
      <w:r>
        <w:t>als eine Einschränkung von Link-</w:t>
      </w:r>
      <w:r w:rsidR="003701D0">
        <w:t xml:space="preserve"> und </w:t>
      </w:r>
      <w:r>
        <w:t xml:space="preserve">Informationsfreiheit </w:t>
      </w:r>
      <w:r w:rsidR="003701D0">
        <w:t xml:space="preserve">für Bildung und Wissenschaft </w:t>
      </w:r>
      <w:r>
        <w:t xml:space="preserve">eingeschätzt. (vgl. Abschnitt </w:t>
      </w:r>
      <w:r w:rsidR="00557724">
        <w:fldChar w:fldCharType="begin"/>
      </w:r>
      <w:r>
        <w:instrText xml:space="preserve"> REF presseverleger \r \h </w:instrText>
      </w:r>
      <w:r w:rsidR="00557724">
        <w:fldChar w:fldCharType="separate"/>
      </w:r>
      <w:r w:rsidR="002B006B">
        <w:t>2.4</w:t>
      </w:r>
      <w:r w:rsidR="00557724">
        <w:fldChar w:fldCharType="end"/>
      </w:r>
      <w:r>
        <w:t>)</w:t>
      </w:r>
    </w:p>
    <w:p w14:paraId="2EDF8234" w14:textId="77777777" w:rsidR="003B6FC1" w:rsidRDefault="001C0E8D" w:rsidP="003B6FC1">
      <w:pPr>
        <w:pStyle w:val="Listenabsatz"/>
        <w:numPr>
          <w:ilvl w:val="0"/>
          <w:numId w:val="37"/>
        </w:numPr>
      </w:pPr>
      <w:r>
        <w:t>Es ist zu bezweifeln, ob, wie jetzt vorgesehen, die</w:t>
      </w:r>
      <w:r w:rsidR="00647BF7">
        <w:t xml:space="preserve"> Beteiligung der Verlage an den Aus</w:t>
      </w:r>
      <w:r w:rsidR="001B4A89">
        <w:t>s</w:t>
      </w:r>
      <w:r w:rsidR="00647BF7">
        <w:t xml:space="preserve">chüttungen der Verwertungsgesellschaften </w:t>
      </w:r>
      <w:r>
        <w:t xml:space="preserve">durch das Urheberrecht geregelt werden soll/darf (vgl. Abschnitt </w:t>
      </w:r>
      <w:r w:rsidR="00557724">
        <w:fldChar w:fldCharType="begin"/>
      </w:r>
      <w:r>
        <w:instrText xml:space="preserve"> REF ausschuettungen \r \h </w:instrText>
      </w:r>
      <w:r w:rsidR="00557724">
        <w:fldChar w:fldCharType="separate"/>
      </w:r>
      <w:r w:rsidR="002B006B">
        <w:t>2.5</w:t>
      </w:r>
      <w:r w:rsidR="00557724">
        <w:fldChar w:fldCharType="end"/>
      </w:r>
      <w:r>
        <w:t>)</w:t>
      </w:r>
      <w:r w:rsidR="007A4FBE">
        <w:t>.</w:t>
      </w:r>
    </w:p>
    <w:p w14:paraId="091CC915" w14:textId="4F92CDCC" w:rsidR="00D52D69" w:rsidRDefault="00D52D69" w:rsidP="003B6FC1">
      <w:pPr>
        <w:pStyle w:val="Listenabsatz"/>
        <w:numPr>
          <w:ilvl w:val="0"/>
          <w:numId w:val="37"/>
        </w:numPr>
      </w:pPr>
      <w:r>
        <w:t>Angesichts der besonderen Situation von Bild</w:t>
      </w:r>
      <w:r w:rsidR="004A4DB7">
        <w:t xml:space="preserve">ung und Wissenschaft sollte das Problem </w:t>
      </w:r>
      <w:r>
        <w:t>der Vergütung differenziert gelöst werden</w:t>
      </w:r>
      <w:r w:rsidR="00EC62F1">
        <w:t xml:space="preserve">. Wenn Vergütung überhaupt vorgesehen sein soll, sollte dies nur über pauschale </w:t>
      </w:r>
      <w:r w:rsidR="00EC62F1">
        <w:lastRenderedPageBreak/>
        <w:t>Abrechnungsformen geschehen.</w:t>
      </w:r>
      <w:r w:rsidR="00B26AC7">
        <w:t xml:space="preserve"> </w:t>
      </w:r>
      <w:r>
        <w:t xml:space="preserve">(vgl. Abschnitt </w:t>
      </w:r>
      <w:r w:rsidR="00557724">
        <w:fldChar w:fldCharType="begin"/>
      </w:r>
      <w:r>
        <w:instrText xml:space="preserve"> REF vergütung \r \h </w:instrText>
      </w:r>
      <w:r w:rsidR="00557724">
        <w:fldChar w:fldCharType="separate"/>
      </w:r>
      <w:r w:rsidR="002B006B">
        <w:rPr>
          <w:b/>
        </w:rPr>
        <w:t>Fehler! Verweisquelle konnte nicht gefunden werden.</w:t>
      </w:r>
      <w:r w:rsidR="00557724">
        <w:fldChar w:fldCharType="end"/>
      </w:r>
      <w:r>
        <w:t>)</w:t>
      </w:r>
      <w:r w:rsidR="007A4FBE">
        <w:t>.</w:t>
      </w:r>
    </w:p>
    <w:p w14:paraId="2C50C8FE" w14:textId="77777777" w:rsidR="00871191" w:rsidRDefault="00871191" w:rsidP="00871191">
      <w:pPr>
        <w:pStyle w:val="berschrift1"/>
      </w:pPr>
      <w:r w:rsidRPr="00597E96">
        <w:t>Zu den Bildung und Wissenschaft direkt betreffenden Vorschlägen</w:t>
      </w:r>
      <w:r w:rsidR="00D205A6" w:rsidRPr="00597E96">
        <w:t xml:space="preserve"> der EU-Kommission</w:t>
      </w:r>
    </w:p>
    <w:p w14:paraId="323B8407" w14:textId="07B6159A" w:rsidR="00042146" w:rsidRDefault="00042146" w:rsidP="008C3956">
      <w:r>
        <w:t xml:space="preserve">In Erwägungsgrund 5 </w:t>
      </w:r>
      <w:r w:rsidR="00B70658">
        <w:t>(im Folgendenden als EG ab</w:t>
      </w:r>
      <w:r w:rsidR="007A4FBE">
        <w:t>gekürzt)</w:t>
      </w:r>
      <w:r w:rsidR="007A4FBE">
        <w:rPr>
          <w:rStyle w:val="Funotenzeichen"/>
        </w:rPr>
        <w:footnoteReference w:id="12"/>
      </w:r>
      <w:r w:rsidR="007A4FBE">
        <w:t xml:space="preserve"> des Vorschlags </w:t>
      </w:r>
      <w:r>
        <w:t>bestätigt die Kommission, dass die bislang vor allem durch die InfoSoc-Richtlinie von 2001 geltenden Schrankenbestimmungen nicht mehr zeitgemäß sind und dass sie entsprechend neu bewertet werden müssen.</w:t>
      </w:r>
      <w:r>
        <w:rPr>
          <w:rStyle w:val="Funotenzeichen"/>
        </w:rPr>
        <w:footnoteReference w:id="13"/>
      </w:r>
      <w:r w:rsidR="0095403A">
        <w:t xml:space="preserve"> Die konkreten</w:t>
      </w:r>
      <w:r w:rsidR="00B26AC7">
        <w:t xml:space="preserve"> </w:t>
      </w:r>
      <w:r w:rsidR="00560107">
        <w:t xml:space="preserve">vorgeschlagenen </w:t>
      </w:r>
      <w:r w:rsidR="0095403A">
        <w:t>R</w:t>
      </w:r>
      <w:r w:rsidR="001B4A89">
        <w:t>e</w:t>
      </w:r>
      <w:r w:rsidR="0095403A">
        <w:t>gulierungsvorschriften sollten an dieser Aussage gemessen werden. Das soll im Folgenden unternommen werden.</w:t>
      </w:r>
    </w:p>
    <w:p w14:paraId="3044CC86" w14:textId="77777777" w:rsidR="00CA5B87" w:rsidRDefault="00CA5B87" w:rsidP="009125F7">
      <w:pPr>
        <w:pStyle w:val="berschrift2"/>
      </w:pPr>
      <w:r>
        <w:t xml:space="preserve"> </w:t>
      </w:r>
      <w:bookmarkStart w:id="2" w:name="technischerSchutz"/>
      <w:bookmarkEnd w:id="2"/>
      <w:r>
        <w:t>Umgang mit technischen Schutzmaßnahmen</w:t>
      </w:r>
    </w:p>
    <w:p w14:paraId="5A66EB33" w14:textId="4DEDDAD5" w:rsidR="00CA5B87" w:rsidRDefault="00F20646" w:rsidP="00F9397C">
      <w:pPr>
        <w:widowControl w:val="0"/>
        <w:autoSpaceDE w:val="0"/>
        <w:autoSpaceDN w:val="0"/>
        <w:adjustRightInd w:val="0"/>
        <w:spacing w:before="0" w:beforeAutospacing="0" w:after="240" w:afterAutospacing="0"/>
      </w:pPr>
      <w:r w:rsidRPr="008C3956">
        <w:rPr>
          <w:b/>
        </w:rPr>
        <w:t>Maßnahmen:</w:t>
      </w:r>
      <w:r>
        <w:t xml:space="preserve"> </w:t>
      </w:r>
      <w:r w:rsidR="00F9397C">
        <w:t>Der</w:t>
      </w:r>
      <w:r w:rsidR="00CA5B87">
        <w:t xml:space="preserve"> </w:t>
      </w:r>
      <w:r w:rsidR="00CA5B87" w:rsidRPr="00F9397C">
        <w:t>durch InfoSoc 2001</w:t>
      </w:r>
      <w:r w:rsidR="00F9397C" w:rsidRPr="00F9397C">
        <w:t xml:space="preserve"> i</w:t>
      </w:r>
      <w:r w:rsidR="00F9397C">
        <w:t xml:space="preserve">m dritten Absatz von </w:t>
      </w:r>
      <w:r w:rsidR="00EC62F1">
        <w:t xml:space="preserve">Art. </w:t>
      </w:r>
      <w:r w:rsidR="00F9397C">
        <w:t>6, 4</w:t>
      </w:r>
      <w:r w:rsidR="00F9397C" w:rsidRPr="00F9397C">
        <w:t xml:space="preserve"> eingeführte</w:t>
      </w:r>
      <w:r w:rsidR="00B26AC7">
        <w:t xml:space="preserve"> </w:t>
      </w:r>
      <w:r w:rsidR="00CA5B87" w:rsidRPr="00F9397C">
        <w:t xml:space="preserve">Schutz technologischer Schutzmaßnahmen </w:t>
      </w:r>
      <w:r w:rsidR="003B6FC1">
        <w:t xml:space="preserve">(DRM) </w:t>
      </w:r>
      <w:r w:rsidR="00F9397C" w:rsidRPr="00F9397C">
        <w:t xml:space="preserve">soll </w:t>
      </w:r>
      <w:r w:rsidR="00B70658">
        <w:t xml:space="preserve">nach Einsicht der EU-Kommission </w:t>
      </w:r>
      <w:r w:rsidR="00CA5B87" w:rsidRPr="00F9397C">
        <w:t>wei</w:t>
      </w:r>
      <w:r w:rsidR="00B70658">
        <w:t>ter bestehen bleiben. Die Rechts</w:t>
      </w:r>
      <w:r w:rsidR="00CA5B87" w:rsidRPr="00F9397C">
        <w:t>inhaber sollen dafür</w:t>
      </w:r>
      <w:r w:rsidR="00CA5B87">
        <w:t xml:space="preserve"> sorgen, dass die durch die Sch</w:t>
      </w:r>
      <w:r w:rsidR="00F9397C">
        <w:t>rankenbestimmungen des Rechts le</w:t>
      </w:r>
      <w:r w:rsidR="00CA5B87">
        <w:t>gitimierten Nutzung</w:t>
      </w:r>
      <w:r w:rsidR="003701D0">
        <w:t>sformen weiter möglich bleiben</w:t>
      </w:r>
      <w:r w:rsidR="00F9397C">
        <w:t xml:space="preserve">. </w:t>
      </w:r>
      <w:r w:rsidR="00CA5B87">
        <w:t>Allerdings bleibt es ihnen über „freiw</w:t>
      </w:r>
      <w:r w:rsidR="001B4A89">
        <w:t>i</w:t>
      </w:r>
      <w:r w:rsidR="00CA5B87">
        <w:t>llige Maßnahmen“ überlassen, welches Format und welche Modalitäten sie dafür als geeignet ansehen (vgl. Er</w:t>
      </w:r>
      <w:r w:rsidR="004F222A">
        <w:t>w</w:t>
      </w:r>
      <w:r w:rsidR="003701D0">
        <w:t xml:space="preserve">ägungsgrund 7). Nur </w:t>
      </w:r>
      <w:r w:rsidR="001B4A89">
        <w:t>wenn diese freiwil</w:t>
      </w:r>
      <w:r w:rsidR="00CA5B87">
        <w:t>ligen Maßnahmen nicht bereitgestellt werden, sollen die Mitgliedssta</w:t>
      </w:r>
      <w:r w:rsidR="003701D0">
        <w:t>aten M</w:t>
      </w:r>
      <w:r w:rsidR="00CA5B87">
        <w:t>aßnahmen vorsehen, um die im Recht vorgesehenen Nutzungen zu ermöglichen.</w:t>
      </w:r>
      <w:r w:rsidR="00B26AC7">
        <w:t xml:space="preserve"> </w:t>
      </w:r>
      <w:r w:rsidR="00CA5B87">
        <w:t>Wie das geschehen soll, w</w:t>
      </w:r>
      <w:r w:rsidR="00EC62F1">
        <w:t>ird trotz des Verweises auf Art.</w:t>
      </w:r>
      <w:r w:rsidR="00CA5B87">
        <w:t xml:space="preserve"> 6, </w:t>
      </w:r>
      <w:r w:rsidR="00E25985">
        <w:t>4 von InfoSoc 2001 nicht gesagt.</w:t>
      </w:r>
    </w:p>
    <w:p w14:paraId="58F81599" w14:textId="77777777" w:rsidR="003B6FC1" w:rsidRDefault="00F20646" w:rsidP="008C3956">
      <w:pPr>
        <w:rPr>
          <w:b/>
          <w:szCs w:val="28"/>
        </w:rPr>
      </w:pPr>
      <w:r w:rsidRPr="008C3956">
        <w:rPr>
          <w:b/>
          <w:szCs w:val="28"/>
        </w:rPr>
        <w:t>Kritik</w:t>
      </w:r>
      <w:r w:rsidR="003B6FC1">
        <w:rPr>
          <w:b/>
          <w:szCs w:val="28"/>
        </w:rPr>
        <w:t xml:space="preserve"> </w:t>
      </w:r>
    </w:p>
    <w:p w14:paraId="3A56440C" w14:textId="77777777" w:rsidR="003B6FC1" w:rsidRDefault="003B6FC1" w:rsidP="003B6FC1">
      <w:pPr>
        <w:pStyle w:val="Listenabsatz"/>
        <w:numPr>
          <w:ilvl w:val="0"/>
          <w:numId w:val="43"/>
        </w:numPr>
        <w:rPr>
          <w:szCs w:val="28"/>
        </w:rPr>
      </w:pPr>
      <w:r w:rsidRPr="003B6FC1">
        <w:rPr>
          <w:szCs w:val="28"/>
        </w:rPr>
        <w:t>Der</w:t>
      </w:r>
      <w:r w:rsidR="00367BE8" w:rsidRPr="003B6FC1">
        <w:rPr>
          <w:szCs w:val="28"/>
        </w:rPr>
        <w:t xml:space="preserve"> weiter bestehende Schutz</w:t>
      </w:r>
      <w:r w:rsidR="00B26AC7" w:rsidRPr="003B6FC1">
        <w:rPr>
          <w:szCs w:val="28"/>
        </w:rPr>
        <w:t xml:space="preserve"> </w:t>
      </w:r>
      <w:r w:rsidR="00367BE8" w:rsidRPr="003B6FC1">
        <w:rPr>
          <w:szCs w:val="28"/>
        </w:rPr>
        <w:t>tec</w:t>
      </w:r>
      <w:r w:rsidR="008C3956" w:rsidRPr="003B6FC1">
        <w:rPr>
          <w:szCs w:val="28"/>
        </w:rPr>
        <w:t xml:space="preserve">hnischer Schutzmaßnahmen (DRM) </w:t>
      </w:r>
      <w:r w:rsidR="00367BE8" w:rsidRPr="003B6FC1">
        <w:rPr>
          <w:szCs w:val="28"/>
        </w:rPr>
        <w:t>und damit die Ermunterung zum Einsatz dieser Maßnahmen ist in Bildung und Wissenschaft nicht angemessen.</w:t>
      </w:r>
      <w:r w:rsidR="00F20646" w:rsidRPr="003B6FC1">
        <w:rPr>
          <w:szCs w:val="28"/>
        </w:rPr>
        <w:t xml:space="preserve"> </w:t>
      </w:r>
    </w:p>
    <w:p w14:paraId="5DDD2F54" w14:textId="77777777" w:rsidR="003B6FC1" w:rsidRDefault="00F20646" w:rsidP="003B6FC1">
      <w:pPr>
        <w:pStyle w:val="Listenabsatz"/>
        <w:numPr>
          <w:ilvl w:val="0"/>
          <w:numId w:val="43"/>
        </w:numPr>
        <w:rPr>
          <w:szCs w:val="28"/>
        </w:rPr>
      </w:pPr>
      <w:r w:rsidRPr="003B6FC1">
        <w:rPr>
          <w:szCs w:val="28"/>
        </w:rPr>
        <w:t>Die durch Schrankenbestimmung</w:t>
      </w:r>
      <w:r w:rsidR="001B4A89" w:rsidRPr="003B6FC1">
        <w:rPr>
          <w:szCs w:val="28"/>
        </w:rPr>
        <w:t>e</w:t>
      </w:r>
      <w:r w:rsidRPr="003B6FC1">
        <w:rPr>
          <w:szCs w:val="28"/>
        </w:rPr>
        <w:t>n legitimierten Nutzungsformen für</w:t>
      </w:r>
      <w:r w:rsidR="00B26AC7" w:rsidRPr="003B6FC1">
        <w:rPr>
          <w:szCs w:val="28"/>
        </w:rPr>
        <w:t xml:space="preserve"> </w:t>
      </w:r>
      <w:r w:rsidRPr="003B6FC1">
        <w:rPr>
          <w:szCs w:val="28"/>
        </w:rPr>
        <w:t>Bildung und Wissenschaft sollten nicht von freiwilligen Maßna</w:t>
      </w:r>
      <w:r w:rsidR="00E25985" w:rsidRPr="003B6FC1">
        <w:rPr>
          <w:szCs w:val="28"/>
        </w:rPr>
        <w:t xml:space="preserve">hmen der </w:t>
      </w:r>
      <w:r w:rsidR="00B70658" w:rsidRPr="003B6FC1">
        <w:rPr>
          <w:szCs w:val="28"/>
        </w:rPr>
        <w:t>Rechtsinhaber</w:t>
      </w:r>
      <w:r w:rsidR="00E25985" w:rsidRPr="003B6FC1">
        <w:rPr>
          <w:szCs w:val="28"/>
        </w:rPr>
        <w:t xml:space="preserve"> abhängen</w:t>
      </w:r>
      <w:r w:rsidRPr="003B6FC1">
        <w:rPr>
          <w:szCs w:val="28"/>
        </w:rPr>
        <w:t>, sondern sollten alleine durch das Recht direkt garantiert werden.</w:t>
      </w:r>
      <w:r w:rsidR="00765DA1" w:rsidRPr="003B6FC1">
        <w:rPr>
          <w:szCs w:val="28"/>
        </w:rPr>
        <w:t xml:space="preserve"> </w:t>
      </w:r>
    </w:p>
    <w:p w14:paraId="550BFB50" w14:textId="77777777" w:rsidR="003B6FC1" w:rsidRDefault="00765DA1" w:rsidP="003B6FC1">
      <w:pPr>
        <w:pStyle w:val="Listenabsatz"/>
        <w:numPr>
          <w:ilvl w:val="0"/>
          <w:numId w:val="43"/>
        </w:numPr>
        <w:rPr>
          <w:szCs w:val="28"/>
        </w:rPr>
      </w:pPr>
      <w:r w:rsidRPr="003B6FC1">
        <w:rPr>
          <w:szCs w:val="28"/>
        </w:rPr>
        <w:t xml:space="preserve">Vor allem mit Rücksicht auf die Ausbildung, bei der z.B. für Lehrveranstaltungen </w:t>
      </w:r>
      <w:r w:rsidR="00E25985" w:rsidRPr="003B6FC1">
        <w:rPr>
          <w:szCs w:val="28"/>
        </w:rPr>
        <w:t xml:space="preserve">üblicherweise </w:t>
      </w:r>
      <w:r w:rsidRPr="003B6FC1">
        <w:rPr>
          <w:szCs w:val="28"/>
        </w:rPr>
        <w:t>eine Vielzahl von Materialien</w:t>
      </w:r>
      <w:r w:rsidR="00E25985" w:rsidRPr="003B6FC1">
        <w:rPr>
          <w:szCs w:val="28"/>
        </w:rPr>
        <w:t xml:space="preserve"> </w:t>
      </w:r>
      <w:r w:rsidRPr="003B6FC1">
        <w:rPr>
          <w:szCs w:val="28"/>
        </w:rPr>
        <w:t xml:space="preserve">verschiedener </w:t>
      </w:r>
      <w:r w:rsidR="00B70658" w:rsidRPr="003B6FC1">
        <w:rPr>
          <w:szCs w:val="28"/>
        </w:rPr>
        <w:t>Rechtsinhaber</w:t>
      </w:r>
      <w:r w:rsidRPr="003B6FC1">
        <w:rPr>
          <w:szCs w:val="28"/>
        </w:rPr>
        <w:t xml:space="preserve"> genutzt </w:t>
      </w:r>
      <w:r w:rsidR="00F845DF" w:rsidRPr="003B6FC1">
        <w:rPr>
          <w:szCs w:val="28"/>
        </w:rPr>
        <w:t>wird</w:t>
      </w:r>
      <w:r w:rsidRPr="003B6FC1">
        <w:rPr>
          <w:szCs w:val="28"/>
        </w:rPr>
        <w:t>, ist es nicht zumutbar, dass mit jedem Anbieter Verhand</w:t>
      </w:r>
      <w:r w:rsidR="00E25985" w:rsidRPr="003B6FC1">
        <w:rPr>
          <w:szCs w:val="28"/>
        </w:rPr>
        <w:t>l</w:t>
      </w:r>
      <w:r w:rsidRPr="003B6FC1">
        <w:rPr>
          <w:szCs w:val="28"/>
        </w:rPr>
        <w:t>ungen über die Beseitigung technischer Maßnahmen geführt werden.</w:t>
      </w:r>
      <w:r w:rsidR="007E2954" w:rsidRPr="003B6FC1">
        <w:rPr>
          <w:szCs w:val="28"/>
        </w:rPr>
        <w:t xml:space="preserve"> </w:t>
      </w:r>
    </w:p>
    <w:p w14:paraId="1FCCA244" w14:textId="77777777" w:rsidR="003B6FC1" w:rsidRDefault="008D43E9" w:rsidP="003B6FC1">
      <w:pPr>
        <w:pStyle w:val="Listenabsatz"/>
        <w:numPr>
          <w:ilvl w:val="0"/>
          <w:numId w:val="43"/>
        </w:numPr>
        <w:rPr>
          <w:szCs w:val="28"/>
        </w:rPr>
      </w:pPr>
      <w:r w:rsidRPr="003B6FC1">
        <w:rPr>
          <w:szCs w:val="28"/>
        </w:rPr>
        <w:t>Der Ausweg, vor Gericht darüber entscheiden zu lassen, ob die Aufhebung einer DRM-Maßnahme gerechtfertigt ist</w:t>
      </w:r>
      <w:r w:rsidR="00A24CBC" w:rsidRPr="003B6FC1">
        <w:rPr>
          <w:szCs w:val="28"/>
        </w:rPr>
        <w:t>, ist aus Zeitgründen kaum praktikabel; die jeweilige Lehrveranstaltung dürfte dann längst vorbei sein.</w:t>
      </w:r>
    </w:p>
    <w:p w14:paraId="55B56B29" w14:textId="0879BB2F" w:rsidR="00DD7FB9" w:rsidRPr="003B6FC1" w:rsidRDefault="007E2954" w:rsidP="003B6FC1">
      <w:pPr>
        <w:pStyle w:val="Listenabsatz"/>
        <w:numPr>
          <w:ilvl w:val="0"/>
          <w:numId w:val="43"/>
        </w:numPr>
        <w:rPr>
          <w:szCs w:val="28"/>
        </w:rPr>
      </w:pPr>
      <w:r w:rsidRPr="003B6FC1">
        <w:rPr>
          <w:szCs w:val="28"/>
        </w:rPr>
        <w:lastRenderedPageBreak/>
        <w:t xml:space="preserve">Auch wird die Bibliotheksarbeit dadurch stark behindert, wenn selbst einfache Vorgänge wie Vervielfältigungen zur Sicherung des kulturellen Erbes bei DRM-Beschränkungen nicht durchgeführt werden können. </w:t>
      </w:r>
    </w:p>
    <w:p w14:paraId="3959D80C" w14:textId="3BA0A8D3" w:rsidR="00367BE8" w:rsidRPr="00DD7FB9" w:rsidRDefault="007E2954" w:rsidP="00DD7FB9">
      <w:r w:rsidRPr="00DD7FB9">
        <w:t xml:space="preserve">DRM ist ohne Frage ein Relikt aus der Zeit, </w:t>
      </w:r>
      <w:r w:rsidR="00176EA7">
        <w:t>zu der</w:t>
      </w:r>
      <w:r w:rsidRPr="00DD7FB9">
        <w:t xml:space="preserve"> </w:t>
      </w:r>
      <w:r w:rsidR="00A24CBC">
        <w:t xml:space="preserve">die </w:t>
      </w:r>
      <w:r w:rsidRPr="00DD7FB9">
        <w:t>Furcht vor Piraterie dominanter war als die Energie, neue Produkte und Dienstleistungen auf den Markt zu bringen. Die Musik</w:t>
      </w:r>
      <w:r w:rsidR="003B6FC1">
        <w:t>- und Videoindustrien</w:t>
      </w:r>
      <w:r w:rsidR="00A24CBC">
        <w:t xml:space="preserve"> haben</w:t>
      </w:r>
      <w:r w:rsidRPr="00DD7FB9">
        <w:t xml:space="preserve"> mit ihrem (aber durchaus nicht vollständigen) Verzicht auf DRM diese </w:t>
      </w:r>
      <w:r w:rsidR="00A24CBC">
        <w:t>Argumentation</w:t>
      </w:r>
      <w:r w:rsidRPr="00DD7FB9">
        <w:t xml:space="preserve"> weitgehend aufgegeben und sich so neue Märkte </w:t>
      </w:r>
      <w:r w:rsidR="00A24CBC">
        <w:t xml:space="preserve">z.B. über niedrigpreisiges Streaming </w:t>
      </w:r>
      <w:r w:rsidRPr="00DD7FB9">
        <w:t>mit hohen Renditen erschlossen. Auch der Wissenschaftsmarkt sollte eher den innovativen als den ausschließenden Weg gehen.</w:t>
      </w:r>
      <w:r w:rsidR="00DD7FB9">
        <w:t xml:space="preserve"> Die Rechtsetzung sollte den restriktiven DRM-Gedanken aufgeben bzw. im Z</w:t>
      </w:r>
      <w:r w:rsidR="003B6FC1">
        <w:t>weifelsfall der Schrankenregelun</w:t>
      </w:r>
      <w:r w:rsidR="00DD7FB9">
        <w:t>g Vorrang einräumen.</w:t>
      </w:r>
    </w:p>
    <w:p w14:paraId="46C21A01" w14:textId="77777777" w:rsidR="00F20646" w:rsidRDefault="00F20646" w:rsidP="009125F7">
      <w:pPr>
        <w:pStyle w:val="berschrift2"/>
      </w:pPr>
      <w:bookmarkStart w:id="3" w:name="tdm"/>
      <w:bookmarkEnd w:id="3"/>
      <w:r>
        <w:t>Neue Schrankenbestimmung für Text and Data Mining (TDM)</w:t>
      </w:r>
    </w:p>
    <w:p w14:paraId="1F6C6372" w14:textId="433AE51C" w:rsidR="00765DA1" w:rsidRDefault="008C3956" w:rsidP="00765DA1">
      <w:r w:rsidRPr="008C3956">
        <w:rPr>
          <w:b/>
        </w:rPr>
        <w:t>Maßnahme</w:t>
      </w:r>
      <w:r>
        <w:t xml:space="preserve">: </w:t>
      </w:r>
      <w:r w:rsidR="00E328F2">
        <w:t>Die EU-Kommission sieht hier Handlu</w:t>
      </w:r>
      <w:r w:rsidR="00176EA7">
        <w:t xml:space="preserve">ngsbedarf. </w:t>
      </w:r>
      <w:r w:rsidR="0064496F">
        <w:t xml:space="preserve">Es sei </w:t>
      </w:r>
      <w:r w:rsidR="00DB4E60">
        <w:t>nicht auszuschließen, dass, angesichts der wachsenden Bedeutung von TDM, Rechtsinhaber bei Lizenzen für große Text- und Datensammlungen</w:t>
      </w:r>
      <w:r w:rsidR="00700E93">
        <w:t xml:space="preserve"> </w:t>
      </w:r>
      <w:r w:rsidR="00DB4E60">
        <w:t xml:space="preserve">TDM ausschließen bzw. dafür neue Vereinbarungen aushandeln wollen. </w:t>
      </w:r>
      <w:r w:rsidR="003B6FC1">
        <w:br/>
      </w:r>
      <w:r w:rsidR="00B70658">
        <w:t>Für die EU war es offenbar</w:t>
      </w:r>
      <w:r w:rsidR="00DB4E60">
        <w:t xml:space="preserve"> nicht eindeutig geklärt, </w:t>
      </w:r>
      <w:r w:rsidR="00B70658">
        <w:t xml:space="preserve">ob und </w:t>
      </w:r>
      <w:r w:rsidR="00DB4E60">
        <w:t xml:space="preserve">inwieweit den TDM-Aktivitäten von </w:t>
      </w:r>
      <w:r w:rsidR="005E5746">
        <w:rPr>
          <w:rFonts w:eastAsia="Times New Roman" w:cs="Times New Roman"/>
        </w:rPr>
        <w:t>Forschungs</w:t>
      </w:r>
      <w:r w:rsidR="00DB4E60">
        <w:rPr>
          <w:rFonts w:eastAsia="Times New Roman" w:cs="Times New Roman"/>
        </w:rPr>
        <w:t>einrichtungen</w:t>
      </w:r>
      <w:r>
        <w:t xml:space="preserve"> Urheberrechts- bzw.</w:t>
      </w:r>
      <w:r w:rsidR="00B26AC7">
        <w:t xml:space="preserve"> </w:t>
      </w:r>
      <w:r>
        <w:t>Datenbankschutz</w:t>
      </w:r>
      <w:r w:rsidR="00DB4E60">
        <w:t xml:space="preserve">-Bedenken </w:t>
      </w:r>
      <w:r>
        <w:t>entgegenstehen</w:t>
      </w:r>
      <w:r w:rsidR="00DB4E60">
        <w:t xml:space="preserve">. </w:t>
      </w:r>
      <w:r w:rsidR="00E25AFC">
        <w:t xml:space="preserve">Vermutlich reagiert die EU </w:t>
      </w:r>
      <w:r w:rsidR="00B70658">
        <w:t>mit ihrem Vorschlag</w:t>
      </w:r>
      <w:r w:rsidR="00E25AFC">
        <w:t xml:space="preserve"> auch auf das schon 2014 erfolgte Vorpreschen des UK in Sachen TDM.</w:t>
      </w:r>
      <w:r w:rsidR="00E25AFC">
        <w:rPr>
          <w:rStyle w:val="Funotenzeichen"/>
        </w:rPr>
        <w:footnoteReference w:id="14"/>
      </w:r>
      <w:r w:rsidR="00E25AFC">
        <w:t xml:space="preserve"> Die EU-Kommission </w:t>
      </w:r>
      <w:r>
        <w:t xml:space="preserve"> mö</w:t>
      </w:r>
      <w:r w:rsidR="00E25985">
        <w:t xml:space="preserve">chte </w:t>
      </w:r>
      <w:r w:rsidR="00E25AFC">
        <w:t xml:space="preserve">mit Art. 3 des Vorschlags </w:t>
      </w:r>
      <w:r w:rsidR="004F222A">
        <w:t xml:space="preserve">rechtliche </w:t>
      </w:r>
      <w:r>
        <w:t>U</w:t>
      </w:r>
      <w:r w:rsidR="004F222A">
        <w:t>nsicherheit</w:t>
      </w:r>
      <w:r>
        <w:t xml:space="preserve"> beseitigen und eine für alle Mitgliedsstaaten </w:t>
      </w:r>
      <w:r w:rsidRPr="001114FE">
        <w:rPr>
          <w:i/>
        </w:rPr>
        <w:t>v</w:t>
      </w:r>
      <w:r w:rsidR="00765DA1" w:rsidRPr="001114FE">
        <w:rPr>
          <w:i/>
        </w:rPr>
        <w:t xml:space="preserve">erbindliche </w:t>
      </w:r>
      <w:r w:rsidR="00765DA1">
        <w:t>Schranke</w:t>
      </w:r>
      <w:r w:rsidR="00DB4E60">
        <w:t>nregelung</w:t>
      </w:r>
      <w:r w:rsidR="00765DA1">
        <w:t xml:space="preserve"> einführen</w:t>
      </w:r>
      <w:r w:rsidR="00E328F2">
        <w:t xml:space="preserve">. </w:t>
      </w:r>
    </w:p>
    <w:p w14:paraId="1C2FC00B" w14:textId="74974BDF" w:rsidR="00765DA1" w:rsidRDefault="00765DA1" w:rsidP="001114FE">
      <w:pPr>
        <w:widowControl w:val="0"/>
        <w:tabs>
          <w:tab w:val="left" w:pos="220"/>
          <w:tab w:val="left" w:pos="720"/>
        </w:tabs>
        <w:autoSpaceDE w:val="0"/>
        <w:autoSpaceDN w:val="0"/>
        <w:adjustRightInd w:val="0"/>
        <w:spacing w:before="0" w:beforeAutospacing="0" w:after="240" w:afterAutospacing="0"/>
        <w:ind w:left="220"/>
      </w:pPr>
      <w:r w:rsidRPr="00921F65">
        <w:rPr>
          <w:lang w:val="en-GB"/>
        </w:rPr>
        <w:t>„Member States shall provide for an exception to the rights provide for in Article 2 of Directive 2001/29/EC, Articles 5(a) and 7(1) of Directive 96/9/EC and Article 11(1) of this Directive for reproductions and extractions made by research organisations in order to carry out text and data mi</w:t>
      </w:r>
      <w:r w:rsidR="00F845DF" w:rsidRPr="00921F65">
        <w:rPr>
          <w:lang w:val="en-GB"/>
        </w:rPr>
        <w:t>ning of works or other subject-</w:t>
      </w:r>
      <w:r w:rsidRPr="00921F65">
        <w:rPr>
          <w:lang w:val="en-GB"/>
        </w:rPr>
        <w:t xml:space="preserve">matter to which they have lawful access for the purposes of scientific research.“ </w:t>
      </w:r>
      <w:r>
        <w:t>(</w:t>
      </w:r>
      <w:r w:rsidR="002D3E7B">
        <w:t>EU</w:t>
      </w:r>
      <w:r w:rsidR="00B70658">
        <w:t>-Vorschlag</w:t>
      </w:r>
      <w:r w:rsidR="002D3E7B">
        <w:t xml:space="preserve">, </w:t>
      </w:r>
      <w:r>
        <w:t>Art, 3, 1)</w:t>
      </w:r>
      <w:r w:rsidR="00AB1D0C">
        <w:t xml:space="preserve"> </w:t>
      </w:r>
    </w:p>
    <w:p w14:paraId="6EE71F3D" w14:textId="5BFF9BF3" w:rsidR="00C423AC" w:rsidRDefault="008C3956" w:rsidP="00A81E87">
      <w:r>
        <w:t>Die bisherige verbindliche Schrankenbestimmung für</w:t>
      </w:r>
      <w:r w:rsidR="0064496F">
        <w:t xml:space="preserve"> vorübergehende Vervielfältigungen</w:t>
      </w:r>
      <w:r>
        <w:t xml:space="preserve"> </w:t>
      </w:r>
      <w:r w:rsidR="0064496F">
        <w:t>(</w:t>
      </w:r>
      <w:r w:rsidR="0064496F" w:rsidRPr="0064496F">
        <w:rPr>
          <w:i/>
        </w:rPr>
        <w:t>temporary acts</w:t>
      </w:r>
      <w:r w:rsidR="0064496F">
        <w:t>)</w:t>
      </w:r>
      <w:r w:rsidR="00E25985">
        <w:t>bleibt erhalten</w:t>
      </w:r>
      <w:r>
        <w:t>.</w:t>
      </w:r>
      <w:r w:rsidR="0064496F" w:rsidRPr="0064496F">
        <w:t xml:space="preserve"> </w:t>
      </w:r>
      <w:r w:rsidR="0064496F">
        <w:t>(EG 10)</w:t>
      </w:r>
      <w:r w:rsidR="00AD3A8E">
        <w:t xml:space="preserve"> </w:t>
      </w:r>
      <w:r w:rsidR="00DD7FB9">
        <w:t>Allerdings fallen TDM-Anwendunge in der Wissenschaft wohl kaum unter die</w:t>
      </w:r>
      <w:r w:rsidR="003B6FC1">
        <w:t>se „temporary acts“</w:t>
      </w:r>
      <w:r w:rsidR="00DD7FB9">
        <w:t>.</w:t>
      </w:r>
      <w:r w:rsidR="00A81E87">
        <w:t xml:space="preserve"> </w:t>
      </w:r>
      <w:r w:rsidR="00DD7FB9">
        <w:t>Die</w:t>
      </w:r>
      <w:r w:rsidR="004A4DB7">
        <w:t xml:space="preserve"> </w:t>
      </w:r>
      <w:r w:rsidR="00DD7FB9">
        <w:t>neue</w:t>
      </w:r>
      <w:r w:rsidR="00262375" w:rsidRPr="00262375">
        <w:t xml:space="preserve"> </w:t>
      </w:r>
      <w:r w:rsidR="003B6FC1">
        <w:t>Schranke ergänzt</w:t>
      </w:r>
      <w:r w:rsidR="00C423AC">
        <w:t xml:space="preserve"> durch</w:t>
      </w:r>
      <w:r w:rsidR="00B26AC7">
        <w:t xml:space="preserve"> </w:t>
      </w:r>
      <w:r w:rsidR="00EC62F1">
        <w:t>Art.</w:t>
      </w:r>
      <w:r w:rsidR="003B6FC1">
        <w:t xml:space="preserve"> </w:t>
      </w:r>
      <w:r w:rsidR="00C423AC">
        <w:t xml:space="preserve">3, 1 die Rechte, die z.B. durch InfoSoc </w:t>
      </w:r>
      <w:r w:rsidR="00EC62F1">
        <w:t>Art.</w:t>
      </w:r>
      <w:r w:rsidR="0064496F">
        <w:t xml:space="preserve"> </w:t>
      </w:r>
      <w:r w:rsidR="00C423AC">
        <w:t>5,</w:t>
      </w:r>
      <w:r w:rsidR="00E25985">
        <w:t xml:space="preserve"> </w:t>
      </w:r>
      <w:r w:rsidR="00C423AC">
        <w:t xml:space="preserve">a gegeben sind. Vertragliche Bestimmungen, die </w:t>
      </w:r>
      <w:r w:rsidR="00E25985">
        <w:t>der neuen</w:t>
      </w:r>
      <w:r w:rsidR="00C423AC">
        <w:t xml:space="preserve"> Schranke entgegenstehen, können nicht erzwungen werden (</w:t>
      </w:r>
      <w:r w:rsidR="00C423AC" w:rsidRPr="00DD7FB9">
        <w:rPr>
          <w:i/>
        </w:rPr>
        <w:t>unenforceable</w:t>
      </w:r>
      <w:r w:rsidR="00C423AC">
        <w:t>)</w:t>
      </w:r>
      <w:r w:rsidR="00765DA1">
        <w:t>. (</w:t>
      </w:r>
      <w:r w:rsidR="00EC62F1">
        <w:t>Art.</w:t>
      </w:r>
      <w:r w:rsidR="0064496F">
        <w:t xml:space="preserve"> </w:t>
      </w:r>
      <w:r w:rsidR="00765DA1">
        <w:t>3, 2)</w:t>
      </w:r>
    </w:p>
    <w:p w14:paraId="33A65EAC" w14:textId="208BD157" w:rsidR="00E25985" w:rsidRDefault="00AD3A8E" w:rsidP="00765DA1">
      <w:r>
        <w:t xml:space="preserve">Von der neuen Schranke sollen auch Forschungsorganisationen Nutzen haben, die in „public-private partnerships“-Vorhaben involviert sind. (EG 10) Organisationen, die TDM unter rein kommerziellen Aspekten betreiben, werden </w:t>
      </w:r>
      <w:r w:rsidR="007A4FBE">
        <w:t xml:space="preserve">aber </w:t>
      </w:r>
      <w:r>
        <w:t>nicht als Forschungsorganis</w:t>
      </w:r>
      <w:r w:rsidR="00F845DF">
        <w:t>a</w:t>
      </w:r>
      <w:r>
        <w:t xml:space="preserve">tionen angesehen und bleiben von der Schranke ausgeschlossen. </w:t>
      </w:r>
    </w:p>
    <w:p w14:paraId="7E21E697" w14:textId="65CA6407" w:rsidR="00DB4E60" w:rsidRDefault="007A4FBE" w:rsidP="00765DA1">
      <w:r>
        <w:lastRenderedPageBreak/>
        <w:t xml:space="preserve">Ganz frei soll eine Nutzung nach dieser Schranke allerdings nicht sein: </w:t>
      </w:r>
      <w:r w:rsidR="00AD3A8E">
        <w:t>Den Recht</w:t>
      </w:r>
      <w:r w:rsidR="003B6FC1">
        <w:t>s</w:t>
      </w:r>
      <w:r w:rsidR="00AD3A8E">
        <w:t>inhaber</w:t>
      </w:r>
      <w:r w:rsidR="00F845DF">
        <w:t>n</w:t>
      </w:r>
      <w:r w:rsidR="00AD3A8E">
        <w:t xml:space="preserve"> wird </w:t>
      </w:r>
      <w:r w:rsidR="00765DA1">
        <w:t>das</w:t>
      </w:r>
      <w:r w:rsidR="00AD3A8E">
        <w:t xml:space="preserve"> Recht eingeräumt, Maßnahmen zu ergreifen, wenn durch den Umfang des zu nutzenden Materials die Sicherheit und Integrität des Systems bzw. der Datenbank gefährdet</w:t>
      </w:r>
      <w:r w:rsidR="00B26AC7">
        <w:t xml:space="preserve"> </w:t>
      </w:r>
      <w:r w:rsidR="00AD3A8E">
        <w:t>ist.</w:t>
      </w:r>
      <w:r w:rsidR="00E25985">
        <w:t xml:space="preserve"> </w:t>
      </w:r>
      <w:r w:rsidR="00C423AC">
        <w:t>(</w:t>
      </w:r>
      <w:r w:rsidR="00EC62F1">
        <w:t>Art.</w:t>
      </w:r>
      <w:r w:rsidR="0064496F">
        <w:t xml:space="preserve"> </w:t>
      </w:r>
      <w:r w:rsidR="00C423AC">
        <w:t>3, 3)</w:t>
      </w:r>
      <w:r w:rsidR="001B4A89">
        <w:t xml:space="preserve"> </w:t>
      </w:r>
      <w:r w:rsidR="00B70658">
        <w:t>Rechtsinhaber</w:t>
      </w:r>
      <w:r w:rsidR="00765DA1">
        <w:t xml:space="preserve"> und Forschungsorganisationen sollen sich bez</w:t>
      </w:r>
      <w:r w:rsidR="00E25985">
        <w:t>üglich der Anwendung solcher Maß</w:t>
      </w:r>
      <w:r w:rsidR="00765DA1">
        <w:t>nahmen einvernehmlich verständigen</w:t>
      </w:r>
      <w:r w:rsidR="0064496F">
        <w:t>. (Art.</w:t>
      </w:r>
      <w:r w:rsidR="003B6FC1">
        <w:t xml:space="preserve"> 3, 4)</w:t>
      </w:r>
      <w:r w:rsidR="00765DA1">
        <w:t xml:space="preserve"> </w:t>
      </w:r>
    </w:p>
    <w:p w14:paraId="108ABB89" w14:textId="08B53455" w:rsidR="003A1D25" w:rsidRPr="00AD3A8E" w:rsidRDefault="00AD3A8E" w:rsidP="00765DA1">
      <w:pPr>
        <w:rPr>
          <w:rFonts w:ascii="Times" w:hAnsi="Times" w:cs="Times"/>
        </w:rPr>
      </w:pPr>
      <w:r>
        <w:t xml:space="preserve">Für die TDM-Nutzung </w:t>
      </w:r>
      <w:r w:rsidR="00F845DF">
        <w:t>soll</w:t>
      </w:r>
      <w:r>
        <w:t xml:space="preserve"> </w:t>
      </w:r>
      <w:r w:rsidR="001114FE">
        <w:t>(bemerkenswert!</w:t>
      </w:r>
      <w:r w:rsidR="00DB4E60">
        <w:t xml:space="preserve">) </w:t>
      </w:r>
      <w:r>
        <w:t xml:space="preserve">keine </w:t>
      </w:r>
      <w:r w:rsidR="00765DA1">
        <w:t>Entschä</w:t>
      </w:r>
      <w:r w:rsidR="00C423AC">
        <w:t xml:space="preserve">digung (Vergütung) erfolgen, da der Schaden für die </w:t>
      </w:r>
      <w:r w:rsidR="00B70658">
        <w:t>Rechtsinhaber</w:t>
      </w:r>
      <w:r w:rsidR="001B4A89">
        <w:t xml:space="preserve"> durch TDM-Nutzung mini</w:t>
      </w:r>
      <w:r w:rsidR="00C423AC">
        <w:t>mal sei. (EG 13)</w:t>
      </w:r>
      <w:r w:rsidR="007A4FBE">
        <w:t xml:space="preserve"> </w:t>
      </w:r>
      <w:r w:rsidR="00B70658">
        <w:t xml:space="preserve">Zu beachten ist auch, dass die Schrankenerlaubnis für TDM keineswegs einen Freibrief für illegale Nutzungshandlungen (Piraterie) gibt. Wie bei anderen Schranken handelt es sich </w:t>
      </w:r>
      <w:r w:rsidR="001245E6">
        <w:t xml:space="preserve">auch </w:t>
      </w:r>
      <w:r w:rsidR="00B70658">
        <w:t>bei der für TDM</w:t>
      </w:r>
      <w:r w:rsidR="001245E6">
        <w:t xml:space="preserve"> immer um Nutzungen von bereits (i.d.R. von Bibliotheken) auf legalem Wege (Kauf oder Lizenz) erworbenen Materialien.</w:t>
      </w:r>
    </w:p>
    <w:p w14:paraId="1D2D6134" w14:textId="6387A8C2" w:rsidR="001114FE" w:rsidRPr="00765DA1" w:rsidRDefault="008C3956" w:rsidP="001114FE">
      <w:r w:rsidRPr="00765DA1">
        <w:rPr>
          <w:b/>
        </w:rPr>
        <w:t>Kritik</w:t>
      </w:r>
      <w:r>
        <w:t xml:space="preserve">: </w:t>
      </w:r>
      <w:r w:rsidR="001114FE">
        <w:t xml:space="preserve">Neben dem Schrankenvorschlag für ein Leistungsschutzrecht für Presseverleger in Art. 11 (vgl. Abschnitt </w:t>
      </w:r>
      <w:r w:rsidR="001114FE">
        <w:fldChar w:fldCharType="begin"/>
      </w:r>
      <w:r w:rsidR="001114FE">
        <w:instrText xml:space="preserve"> REF _Ref349293268 \r \h </w:instrText>
      </w:r>
      <w:r w:rsidR="001114FE">
        <w:fldChar w:fldCharType="separate"/>
      </w:r>
      <w:r w:rsidR="002B006B">
        <w:t>2.4</w:t>
      </w:r>
      <w:r w:rsidR="001114FE">
        <w:fldChar w:fldCharType="end"/>
      </w:r>
      <w:r w:rsidR="001114FE">
        <w:t xml:space="preserve">) hat der TDM-Vorschlag in Art. 3  </w:t>
      </w:r>
      <w:r w:rsidR="001245E6">
        <w:t xml:space="preserve">besonders </w:t>
      </w:r>
      <w:r w:rsidR="001114FE">
        <w:t>vielfältige Kritik provoziert:</w:t>
      </w:r>
    </w:p>
    <w:p w14:paraId="3827BFC1" w14:textId="77780030" w:rsidR="00491AF1" w:rsidRDefault="008C3956" w:rsidP="00491AF1">
      <w:pPr>
        <w:pStyle w:val="Listenabsatz"/>
        <w:numPr>
          <w:ilvl w:val="0"/>
          <w:numId w:val="36"/>
        </w:numPr>
      </w:pPr>
      <w:r>
        <w:t>Es ist umstritten, ob es eine Notwendigkeit</w:t>
      </w:r>
      <w:r w:rsidR="00B26AC7">
        <w:t xml:space="preserve"> </w:t>
      </w:r>
      <w:r>
        <w:t xml:space="preserve">für eine Schrankenbestimmung für TDM gibt, wenn für TDM ein </w:t>
      </w:r>
      <w:r w:rsidRPr="00A81E87">
        <w:rPr>
          <w:i/>
        </w:rPr>
        <w:t>legaler Zugriff</w:t>
      </w:r>
      <w:r>
        <w:t xml:space="preserve"> auf die zu analysierenden Materialien schon besteht. Wenn man diese </w:t>
      </w:r>
      <w:r w:rsidR="001245E6">
        <w:t xml:space="preserve">berechtigterweise </w:t>
      </w:r>
      <w:r>
        <w:t xml:space="preserve">lesen darf, warum soll man sie nicht auch analysieren </w:t>
      </w:r>
      <w:r w:rsidR="00462680">
        <w:t>dürfen</w:t>
      </w:r>
      <w:r>
        <w:t xml:space="preserve"> – so die Argumentation. </w:t>
      </w:r>
      <w:r w:rsidR="009D124A">
        <w:t xml:space="preserve">Die Allianz der deutschen Wissenschaftsorganisationen vertritt z.B. den Standpunkt, dass es sich bei </w:t>
      </w:r>
      <w:r w:rsidR="0064496F">
        <w:t>TDM</w:t>
      </w:r>
      <w:r w:rsidR="009D124A">
        <w:t xml:space="preserve"> um eine urheberrechtlich nicht relevante Handlung handelt.</w:t>
      </w:r>
      <w:r w:rsidR="00DE442C">
        <w:t xml:space="preserve"> Zudem ist durchaus strittig, ob das Urheberrecht durch TDM-Aktivitäten über</w:t>
      </w:r>
      <w:r w:rsidR="001245E6">
        <w:t>haupt betroffen ist. Bekanntlich</w:t>
      </w:r>
      <w:r w:rsidR="00DE442C">
        <w:t xml:space="preserve"> sind Daten, Fakten, Ideen nicht urheber</w:t>
      </w:r>
      <w:r w:rsidR="001245E6">
        <w:t>r</w:t>
      </w:r>
      <w:r w:rsidR="00DE442C">
        <w:t>echtlich geschützt.</w:t>
      </w:r>
      <w:r w:rsidR="00DE442C">
        <w:rPr>
          <w:rStyle w:val="Funotenzeichen"/>
        </w:rPr>
        <w:footnoteReference w:id="15"/>
      </w:r>
      <w:r w:rsidR="001245E6">
        <w:t xml:space="preserve"> </w:t>
      </w:r>
      <w:r w:rsidR="00974D49">
        <w:t xml:space="preserve">Wie dem auch </w:t>
      </w:r>
      <w:r w:rsidR="00F845DF">
        <w:t xml:space="preserve">sei </w:t>
      </w:r>
      <w:r w:rsidR="00974D49">
        <w:t>– aus der Sicht von Bildung und Wissenschaft</w:t>
      </w:r>
      <w:r w:rsidR="00B452DE">
        <w:t xml:space="preserve"> ist die Einführung dieser Regelung sinnvoll, wenn sie der Rechtssicherheit dient. </w:t>
      </w:r>
    </w:p>
    <w:p w14:paraId="20EA0A8D" w14:textId="7C78A067" w:rsidR="00A81E87" w:rsidRDefault="00B452DE" w:rsidP="00491AF1">
      <w:pPr>
        <w:pStyle w:val="Listenabsatz"/>
        <w:numPr>
          <w:ilvl w:val="0"/>
          <w:numId w:val="36"/>
        </w:numPr>
      </w:pPr>
      <w:r>
        <w:t>Es wird</w:t>
      </w:r>
      <w:r w:rsidR="00F20646">
        <w:t xml:space="preserve"> allerdings für einen Fehler</w:t>
      </w:r>
      <w:r>
        <w:t xml:space="preserve"> gehalten</w:t>
      </w:r>
      <w:r w:rsidR="00F20646">
        <w:t xml:space="preserve">, </w:t>
      </w:r>
      <w:r>
        <w:t xml:space="preserve">das neue TDM-Recht </w:t>
      </w:r>
      <w:r w:rsidR="00F20646">
        <w:t>auf „research organisations ... for the purposes of scientific research“ zu beschränken</w:t>
      </w:r>
      <w:r w:rsidR="001245E6">
        <w:t xml:space="preserve"> (gemeint ist Forschung in nicht-kommerzieller Absicht)</w:t>
      </w:r>
      <w:r w:rsidR="00F20646">
        <w:t xml:space="preserve">. </w:t>
      </w:r>
      <w:r w:rsidR="001245E6">
        <w:t>Diese Ein</w:t>
      </w:r>
      <w:r w:rsidR="00F20646">
        <w:t xml:space="preserve">schränkung </w:t>
      </w:r>
      <w:r w:rsidR="001245E6">
        <w:t xml:space="preserve">würde </w:t>
      </w:r>
      <w:r w:rsidR="00F20646">
        <w:t>einen erheblichen Wettbewerbsnachteil der europäischen Wirtschaft gegenüber Ländern wie USA oder Japan nach sich ziehen</w:t>
      </w:r>
      <w:r w:rsidR="009D124A">
        <w:t xml:space="preserve"> (in den USA ist TDM durch die Fair-Use-Doktrin </w:t>
      </w:r>
      <w:r w:rsidR="001245E6">
        <w:t xml:space="preserve">weitgehend </w:t>
      </w:r>
      <w:r w:rsidR="009D124A">
        <w:t>gedeckt)</w:t>
      </w:r>
      <w:r w:rsidR="001245E6">
        <w:t>. A</w:t>
      </w:r>
      <w:r w:rsidR="007E587F">
        <w:t>uch</w:t>
      </w:r>
      <w:r w:rsidR="00F20646">
        <w:t xml:space="preserve"> würde </w:t>
      </w:r>
      <w:r w:rsidR="007E587F">
        <w:t>sie</w:t>
      </w:r>
      <w:r w:rsidR="00F20646">
        <w:t xml:space="preserve"> die erforderliche und</w:t>
      </w:r>
      <w:r w:rsidR="00B26AC7">
        <w:t xml:space="preserve"> </w:t>
      </w:r>
      <w:r w:rsidR="00F20646">
        <w:t xml:space="preserve">erwünschte Zusammenarbeit der öffentlich finanzierten </w:t>
      </w:r>
      <w:r>
        <w:t>bzw. im öffentlich</w:t>
      </w:r>
      <w:r w:rsidR="00F845DF">
        <w:t>en</w:t>
      </w:r>
      <w:r>
        <w:t xml:space="preserve"> Interesse liegenden Forschung</w:t>
      </w:r>
      <w:r w:rsidR="00F20646">
        <w:t xml:space="preserve"> mit industrieller Forschung </w:t>
      </w:r>
      <w:r>
        <w:t xml:space="preserve">zwar nicht ganz </w:t>
      </w:r>
      <w:r w:rsidR="00E25985">
        <w:t>ausschließen</w:t>
      </w:r>
      <w:r>
        <w:t xml:space="preserve"> (erlaubt scheint sie zu sein, wenn die industrielle Forschung nicht direkt kommerziellen Zwecken dient</w:t>
      </w:r>
      <w:r w:rsidR="00E25985" w:rsidRPr="00022A5D">
        <w:rPr>
          <w:rStyle w:val="Funotenzeichen"/>
        </w:rPr>
        <w:footnoteReference w:id="16"/>
      </w:r>
      <w:r>
        <w:t xml:space="preserve">), </w:t>
      </w:r>
      <w:r w:rsidR="007E587F">
        <w:t>a</w:t>
      </w:r>
      <w:r>
        <w:t xml:space="preserve">ber vermutlich doch </w:t>
      </w:r>
      <w:r w:rsidR="00F20646">
        <w:t xml:space="preserve">stark behindern. </w:t>
      </w:r>
      <w:r w:rsidR="001245E6">
        <w:lastRenderedPageBreak/>
        <w:t>Eine solche Behinderung</w:t>
      </w:r>
      <w:r w:rsidR="00491AF1">
        <w:t>, vom BDI als „</w:t>
      </w:r>
      <w:r w:rsidR="00491AF1" w:rsidRPr="00491AF1">
        <w:t>wirtschafts- und realitätsferne Verengung“ abgelehnt</w:t>
      </w:r>
      <w:bookmarkStart w:id="4" w:name="_Ref349395091"/>
      <w:r w:rsidR="00022A5D">
        <w:rPr>
          <w:rStyle w:val="Funotenzeichen"/>
        </w:rPr>
        <w:footnoteReference w:id="17"/>
      </w:r>
      <w:bookmarkEnd w:id="4"/>
      <w:r w:rsidR="00491AF1" w:rsidRPr="00491AF1">
        <w:t xml:space="preserve">, </w:t>
      </w:r>
      <w:r w:rsidR="001245E6">
        <w:t xml:space="preserve"> steht im Widerspruch zu dem allgemeinen Ziel der EU, dem digitalen Binnenmarkt zu befördern.</w:t>
      </w:r>
    </w:p>
    <w:p w14:paraId="78D27852" w14:textId="398DA2A4" w:rsidR="00B46889" w:rsidRDefault="00B46889" w:rsidP="008C3956">
      <w:pPr>
        <w:pStyle w:val="Listenabsatz"/>
        <w:numPr>
          <w:ilvl w:val="0"/>
          <w:numId w:val="36"/>
        </w:numPr>
      </w:pPr>
      <w:r>
        <w:t xml:space="preserve">Die vorgesehene Möglichkeit, dass die </w:t>
      </w:r>
      <w:r w:rsidR="00B70658">
        <w:t>Rechtsinhaber</w:t>
      </w:r>
      <w:r>
        <w:t xml:space="preserve"> Maßnahmen ergreife</w:t>
      </w:r>
      <w:r w:rsidR="009D124A">
        <w:t xml:space="preserve">n können, wenn sie durch starke, z.B. große Datenmengen umfassende </w:t>
      </w:r>
      <w:r>
        <w:t xml:space="preserve">TDM-Nutzung die „Sicherheit und Integrität“ ihrer Systeme </w:t>
      </w:r>
      <w:r w:rsidR="009D124A">
        <w:t>beeinträchtigt</w:t>
      </w:r>
      <w:r>
        <w:t xml:space="preserve"> sehen, droht die Schranke auszuhebeln, da die meisten TDM-Anwendungen auf „big data“</w:t>
      </w:r>
      <w:r w:rsidR="00E25985">
        <w:t>, also auf umfassen</w:t>
      </w:r>
      <w:r w:rsidR="001B4A89">
        <w:t>d</w:t>
      </w:r>
      <w:r w:rsidR="00E25985">
        <w:t>er Datennutzung,</w:t>
      </w:r>
      <w:r>
        <w:t xml:space="preserve"> beruhen. </w:t>
      </w:r>
      <w:r w:rsidR="001245E6">
        <w:t>Die Aufforderung, dass sich Rechtsinhaber und TDM-Anwender über solche Maßnahmen verständigen, würde Forschungsorganisationen in langwierige Verhandlungen verstricken, welche zeitnahe Anwendungen behindern. Auch TDM-Forschung sollte so frei wie irgend möglich sein.</w:t>
      </w:r>
      <w:r w:rsidR="003B6FC1">
        <w:t xml:space="preserve"> </w:t>
      </w:r>
      <w:r w:rsidR="00462680">
        <w:t>Zudem ist es mehr als fraglich, ob Sicherheit und Integrität über das Urheberrecht</w:t>
      </w:r>
      <w:r w:rsidR="009D124A">
        <w:t>, wie hier vorgesehen,</w:t>
      </w:r>
      <w:r w:rsidR="00462680">
        <w:t xml:space="preserve"> geregelt werden soll.</w:t>
      </w:r>
      <w:r w:rsidR="009D124A">
        <w:t xml:space="preserve"> </w:t>
      </w:r>
      <w:r w:rsidR="003B6FC1">
        <w:br/>
      </w:r>
      <w:r w:rsidR="009D124A">
        <w:t>Schon gar nicht sollte dieses Zugeständnis an die Rechtsinhaber dazu führen, dass der Umfang von Mining oder eine mögliche Verwertung eingeschränkt wird. Ob Rechtsinhaber einen Anspruch auf Teilnahme an möglichen Einnahmen aus den TDM-Analysen haben sollen, müsste vermutlich noch geklärt werden.</w:t>
      </w:r>
    </w:p>
    <w:p w14:paraId="7607B899" w14:textId="397E1CCE" w:rsidR="004C6853" w:rsidRDefault="00DC4559" w:rsidP="00DC4559">
      <w:pPr>
        <w:pStyle w:val="Listenabsatz"/>
        <w:numPr>
          <w:ilvl w:val="0"/>
          <w:numId w:val="36"/>
        </w:numPr>
      </w:pPr>
      <w:r>
        <w:t>Als Bedingung für Wissenschaftlichkeit muss Vorsorge dafür getroffen werden, dass die in der Wissenschaft durch TDM erzielten Forschungsergebnisse nachprüfbar sind. Es ist also keineswegs mit einem temporären Recht auf Vervielfältigung getan. Bibliotheken sollte die für TDM erstellten Korpora dauerhaft speichern und für neue Forschungsfragen bzw. zumindest zur Überprüfung der publizierten Ergebnisse wieder bereitstellen dürfen. Ob dafür die vom BDI vorgeschlagene „</w:t>
      </w:r>
      <w:r w:rsidRPr="00DC4559">
        <w:t>Offenlegung sogenannter „de minimis</w:t>
      </w:r>
      <w:r>
        <w:t>“</w:t>
      </w:r>
      <w:r w:rsidRPr="00DC4559">
        <w:t>-Teile der analysierten Texte bzw. Daten in Form von „Snippets“  in der Praxis“</w:t>
      </w:r>
      <w:r w:rsidR="004C6853">
        <w:t xml:space="preserve"> (vgl. FN </w:t>
      </w:r>
      <w:r w:rsidR="004C6853">
        <w:fldChar w:fldCharType="begin"/>
      </w:r>
      <w:r w:rsidR="004C6853">
        <w:instrText xml:space="preserve"> NOTEREF _Ref349395091 \h </w:instrText>
      </w:r>
      <w:r w:rsidR="004C6853">
        <w:fldChar w:fldCharType="separate"/>
      </w:r>
      <w:r w:rsidR="002B006B">
        <w:t>17</w:t>
      </w:r>
      <w:r w:rsidR="004C6853">
        <w:fldChar w:fldCharType="end"/>
      </w:r>
      <w:r w:rsidR="004C6853">
        <w:t>)</w:t>
      </w:r>
      <w:r w:rsidRPr="00DC4559">
        <w:t xml:space="preserve"> ausreichend sind, kann bezweifelt werden.</w:t>
      </w:r>
      <w:bookmarkStart w:id="5" w:name="crossbordertechaing"/>
      <w:bookmarkEnd w:id="5"/>
      <w:r w:rsidRPr="00597E96">
        <w:t xml:space="preserve"> </w:t>
      </w:r>
    </w:p>
    <w:p w14:paraId="3D5EE151" w14:textId="2141C4F6" w:rsidR="00D205A6" w:rsidRDefault="00DD7FB9" w:rsidP="004C6853">
      <w:r>
        <w:t>Insgesamt scheint</w:t>
      </w:r>
      <w:r w:rsidR="00700E93">
        <w:t xml:space="preserve"> </w:t>
      </w:r>
      <w:r>
        <w:t xml:space="preserve">die Diskussion um eine TDM-Schranke noch nicht umfassend genug geführt zu sein. Z.B. besteht die Gefahr, dass durch eine neue Schranke implizit ein neues Schutzrecht eingeführt würde. </w:t>
      </w:r>
    </w:p>
    <w:p w14:paraId="32928C39" w14:textId="605AD893" w:rsidR="00DC4559" w:rsidRDefault="00DC4559" w:rsidP="00DC4559">
      <w:pPr>
        <w:pStyle w:val="berschrift2"/>
        <w:rPr>
          <w:noProof/>
        </w:rPr>
      </w:pPr>
      <w:bookmarkStart w:id="6" w:name="_Ref349657568"/>
      <w:r>
        <w:t>Schrankenregelung zugunsten „</w:t>
      </w:r>
      <w:r>
        <w:rPr>
          <w:noProof/>
        </w:rPr>
        <w:t>cross-border teaching activities“</w:t>
      </w:r>
      <w:bookmarkEnd w:id="6"/>
    </w:p>
    <w:p w14:paraId="426EAFE5" w14:textId="77777777" w:rsidR="004C6853" w:rsidRDefault="004C6853" w:rsidP="004C6853">
      <w:r w:rsidRPr="00597E96">
        <w:t>Art. 4 schlägt Regelungen für die Nutzung von Werken und anderen Materialien „in digital and cross-border teaching activities“ vor.</w:t>
      </w:r>
    </w:p>
    <w:p w14:paraId="7BF6C041" w14:textId="51AC20A1" w:rsidR="00B601FA" w:rsidRDefault="00D03EA5" w:rsidP="00E33946">
      <w:r w:rsidRPr="00E33946">
        <w:rPr>
          <w:b/>
        </w:rPr>
        <w:t>Maßnahme</w:t>
      </w:r>
      <w:r>
        <w:t>:</w:t>
      </w:r>
      <w:r w:rsidR="00B26AC7">
        <w:t xml:space="preserve"> </w:t>
      </w:r>
      <w:r w:rsidR="007A53EC">
        <w:t>Der Vorschlag der EU-Kommission</w:t>
      </w:r>
      <w:r w:rsidR="002D3E7B">
        <w:t xml:space="preserve"> </w:t>
      </w:r>
      <w:r w:rsidR="00032A25">
        <w:t>vers</w:t>
      </w:r>
      <w:r w:rsidR="00E33946">
        <w:t xml:space="preserve">ucht Klarheit in die bisherigen </w:t>
      </w:r>
      <w:r w:rsidR="00032A25">
        <w:t>Vorgaben au</w:t>
      </w:r>
      <w:r w:rsidR="00E25985">
        <w:t xml:space="preserve">s InfoSoc 2001 (hier </w:t>
      </w:r>
      <w:r w:rsidR="00EC62F1">
        <w:t>Art.</w:t>
      </w:r>
      <w:r w:rsidR="0064496F">
        <w:t xml:space="preserve"> </w:t>
      </w:r>
      <w:r w:rsidR="00E25985">
        <w:t>5, 3, 1</w:t>
      </w:r>
      <w:r w:rsidR="00032A25">
        <w:t xml:space="preserve">) und der Datenbankrichtlinie (hier </w:t>
      </w:r>
      <w:r w:rsidR="00EC62F1">
        <w:t>Art.</w:t>
      </w:r>
      <w:r w:rsidR="003B6FC1">
        <w:t xml:space="preserve"> </w:t>
      </w:r>
      <w:r w:rsidR="00032A25">
        <w:t>6, 2, b und 9, b)</w:t>
      </w:r>
      <w:r w:rsidR="00E33946">
        <w:t xml:space="preserve"> zu bringen – allerdings nur mit Blick auf Ausbildung und insbesondere für </w:t>
      </w:r>
      <w:r w:rsidR="00E25985">
        <w:lastRenderedPageBreak/>
        <w:t>„</w:t>
      </w:r>
      <w:r w:rsidR="00E33946">
        <w:t>distance and cross-border teaching</w:t>
      </w:r>
      <w:r w:rsidR="00E25985">
        <w:t>“</w:t>
      </w:r>
      <w:r w:rsidR="00E33946">
        <w:t xml:space="preserve">. (EG 14) Dazu sei eine neue, für alle Länder </w:t>
      </w:r>
      <w:r w:rsidR="00E33946" w:rsidRPr="003B6FC1">
        <w:rPr>
          <w:i/>
        </w:rPr>
        <w:t>verbindliche</w:t>
      </w:r>
      <w:r w:rsidR="00E33946">
        <w:t xml:space="preserve"> Schrankenregelung erforderlich. </w:t>
      </w:r>
    </w:p>
    <w:p w14:paraId="14CE17AC" w14:textId="1BC2D8D4" w:rsidR="00832993" w:rsidRDefault="00E33946" w:rsidP="00E33946">
      <w:r>
        <w:t>Begünstigt werden sollen Ausbildungse</w:t>
      </w:r>
      <w:r w:rsidR="0064496F">
        <w:t>inrichtungen auf allen Ebenen (</w:t>
      </w:r>
      <w:r w:rsidRPr="0064496F">
        <w:rPr>
          <w:i/>
        </w:rPr>
        <w:t xml:space="preserve">primary, secondary, </w:t>
      </w:r>
      <w:r w:rsidR="0064496F" w:rsidRPr="0064496F">
        <w:rPr>
          <w:i/>
        </w:rPr>
        <w:t>vocational and higher education</w:t>
      </w:r>
      <w:r w:rsidRPr="00E33946">
        <w:t>). (EG 15)</w:t>
      </w:r>
      <w:r w:rsidR="005C7C36">
        <w:t xml:space="preserve"> Nicht der insti</w:t>
      </w:r>
      <w:r w:rsidR="00E25985">
        <w:t>t</w:t>
      </w:r>
      <w:r w:rsidR="005C7C36">
        <w:t xml:space="preserve">utionelle Status sei entscheidend, sondern nur der nicht-kommerzielle Zweck der Ausbildung. </w:t>
      </w:r>
      <w:r w:rsidR="00A52A81">
        <w:t xml:space="preserve">Umfassend gilt allerdings nur das </w:t>
      </w:r>
      <w:r w:rsidR="00A52A81" w:rsidRPr="00A52A81">
        <w:rPr>
          <w:i/>
        </w:rPr>
        <w:t>Vervielfältigungsrecht</w:t>
      </w:r>
      <w:r w:rsidR="00A52A81">
        <w:t xml:space="preserve">. Dazu stellt </w:t>
      </w:r>
      <w:r w:rsidR="000E02D3">
        <w:t>Art. 17, 2, a</w:t>
      </w:r>
      <w:r w:rsidR="00832993">
        <w:t xml:space="preserve"> </w:t>
      </w:r>
      <w:r w:rsidR="00A52A81">
        <w:t xml:space="preserve">klar, dass die </w:t>
      </w:r>
      <w:r w:rsidR="00832993">
        <w:t>Formulierung aus InfoSoc 2</w:t>
      </w:r>
      <w:r w:rsidR="000E02D3">
        <w:t>001,</w:t>
      </w:r>
      <w:r w:rsidR="00E25985">
        <w:t xml:space="preserve"> </w:t>
      </w:r>
      <w:r w:rsidR="00832993">
        <w:t xml:space="preserve">Art. 5, 2 </w:t>
      </w:r>
      <w:r w:rsidR="0039203D">
        <w:t>so geä</w:t>
      </w:r>
      <w:r w:rsidR="00832993">
        <w:t>n</w:t>
      </w:r>
      <w:r w:rsidR="0039203D">
        <w:t>dert werden</w:t>
      </w:r>
      <w:r w:rsidR="00A52A81">
        <w:t xml:space="preserve"> soll</w:t>
      </w:r>
      <w:r w:rsidR="00832993">
        <w:t xml:space="preserve">, </w:t>
      </w:r>
      <w:r w:rsidR="0039203D">
        <w:t>dass</w:t>
      </w:r>
      <w:r w:rsidR="00832993">
        <w:t xml:space="preserve"> Vervielfältigungsrechte auch für Ausbildungseinrichtungen (neben, Bibliotheken, Archiven und Museen) eingeräumt werden können. Das </w:t>
      </w:r>
      <w:r w:rsidR="0039203D">
        <w:t>sollte dann auch bei den anfälligen nationalen</w:t>
      </w:r>
      <w:r w:rsidR="00832993">
        <w:t xml:space="preserve"> Urheberrechtsreform</w:t>
      </w:r>
      <w:r w:rsidR="0039203D">
        <w:t>en</w:t>
      </w:r>
      <w:r w:rsidR="00832993">
        <w:t xml:space="preserve"> </w:t>
      </w:r>
      <w:r w:rsidR="007243BC">
        <w:t>aufgegriffen</w:t>
      </w:r>
      <w:r w:rsidR="0039203D">
        <w:t xml:space="preserve"> werden</w:t>
      </w:r>
      <w:r w:rsidR="007243BC">
        <w:t>.</w:t>
      </w:r>
    </w:p>
    <w:p w14:paraId="416ECEE4" w14:textId="25893BD8" w:rsidR="00B601FA" w:rsidRPr="00921F65" w:rsidRDefault="005C7C36" w:rsidP="00E33946">
      <w:pPr>
        <w:rPr>
          <w:lang w:val="en-GB"/>
        </w:rPr>
      </w:pPr>
      <w:r>
        <w:t xml:space="preserve">Die digitale </w:t>
      </w:r>
      <w:r w:rsidRPr="00A52A81">
        <w:rPr>
          <w:i/>
        </w:rPr>
        <w:t>Nutzung</w:t>
      </w:r>
      <w:r>
        <w:t xml:space="preserve"> </w:t>
      </w:r>
      <w:r w:rsidR="00A52A81">
        <w:t>ist nur für Teile</w:t>
      </w:r>
      <w:r>
        <w:t xml:space="preserve"> oder </w:t>
      </w:r>
      <w:r w:rsidR="00A52A81">
        <w:t>Auszüge</w:t>
      </w:r>
      <w:r>
        <w:t xml:space="preserve"> von Werken</w:t>
      </w:r>
      <w:r w:rsidR="003B6FC1">
        <w:t xml:space="preserve"> vorgesehen</w:t>
      </w:r>
      <w:r>
        <w:t xml:space="preserve">. </w:t>
      </w:r>
      <w:r w:rsidR="00DA44B0">
        <w:t>So mu</w:t>
      </w:r>
      <w:r w:rsidR="00F845DF">
        <w:t>ss wohl EG 16 verstanden werden.</w:t>
      </w:r>
      <w:r w:rsidR="00DA44B0">
        <w:t xml:space="preserve"> </w:t>
      </w:r>
      <w:r>
        <w:t xml:space="preserve">Aber sie ist erlaubt nicht </w:t>
      </w:r>
      <w:r w:rsidR="007243BC">
        <w:t xml:space="preserve">nur </w:t>
      </w:r>
      <w:r>
        <w:t>für das Lehren, sondern auch</w:t>
      </w:r>
      <w:r w:rsidR="00DA44B0">
        <w:t xml:space="preserve"> für</w:t>
      </w:r>
      <w:r w:rsidR="00B26AC7">
        <w:t xml:space="preserve"> </w:t>
      </w:r>
      <w:r>
        <w:t>„related learning activit</w:t>
      </w:r>
      <w:r w:rsidR="000E02D3">
        <w:t>i</w:t>
      </w:r>
      <w:r>
        <w:t>es“</w:t>
      </w:r>
      <w:r w:rsidR="00DA44B0">
        <w:t xml:space="preserve">, </w:t>
      </w:r>
      <w:r>
        <w:t>insbesonder</w:t>
      </w:r>
      <w:r w:rsidR="007243BC">
        <w:t xml:space="preserve">e auch für Prüfungssituationen. </w:t>
      </w:r>
      <w:r>
        <w:t xml:space="preserve">Die Nutzung beschränkt sich nicht </w:t>
      </w:r>
      <w:r w:rsidR="00B601FA">
        <w:t xml:space="preserve">länger </w:t>
      </w:r>
      <w:r>
        <w:t xml:space="preserve">auf die Unterrichtsumgebung („in the classroom“), sondern erlaubt auch die externe authentifizierte Nutzung über ein sicheres Netzwerk der Ausbildungseinrichtung. </w:t>
      </w:r>
      <w:r w:rsidR="00B601FA" w:rsidRPr="00921F65">
        <w:rPr>
          <w:lang w:val="en-GB"/>
        </w:rPr>
        <w:t>(EG 16)</w:t>
      </w:r>
    </w:p>
    <w:p w14:paraId="5303DD83" w14:textId="68DAE750" w:rsidR="002E4697" w:rsidRDefault="00B601FA" w:rsidP="00E33946">
      <w:r w:rsidRPr="00921F65">
        <w:rPr>
          <w:lang w:val="en-GB"/>
        </w:rPr>
        <w:t>N</w:t>
      </w:r>
      <w:r w:rsidR="005C7C36" w:rsidRPr="00921F65">
        <w:rPr>
          <w:lang w:val="en-GB"/>
        </w:rPr>
        <w:t>icht zuletzt</w:t>
      </w:r>
      <w:r w:rsidR="00520B10" w:rsidRPr="00921F65">
        <w:rPr>
          <w:lang w:val="en-GB"/>
        </w:rPr>
        <w:t xml:space="preserve"> </w:t>
      </w:r>
      <w:r w:rsidRPr="00921F65">
        <w:rPr>
          <w:lang w:val="en-GB"/>
        </w:rPr>
        <w:t xml:space="preserve">sollen auch Personen mit Behinderungen durch </w:t>
      </w:r>
      <w:r w:rsidR="00EC62F1">
        <w:rPr>
          <w:lang w:val="en-GB"/>
        </w:rPr>
        <w:t>Art.</w:t>
      </w:r>
      <w:r w:rsidR="000E02D3">
        <w:rPr>
          <w:lang w:val="en-GB"/>
        </w:rPr>
        <w:t xml:space="preserve"> </w:t>
      </w:r>
      <w:r w:rsidRPr="00921F65">
        <w:rPr>
          <w:lang w:val="en-GB"/>
        </w:rPr>
        <w:t>4 begünstigt werden</w:t>
      </w:r>
      <w:r w:rsidR="002E4697" w:rsidRPr="00921F65">
        <w:rPr>
          <w:lang w:val="en-GB"/>
        </w:rPr>
        <w:t>: „</w:t>
      </w:r>
      <w:r w:rsidR="002E4697" w:rsidRPr="00921F65">
        <w:rPr>
          <w:noProof/>
          <w:lang w:val="en-GB"/>
        </w:rPr>
        <w:t>The exception or limitation should be understood as covering the specific accessibility needs of persons with a disability in the context of illustration for teaching.“</w:t>
      </w:r>
      <w:r w:rsidRPr="00921F65">
        <w:rPr>
          <w:lang w:val="en-GB"/>
        </w:rPr>
        <w:t xml:space="preserve"> </w:t>
      </w:r>
      <w:r w:rsidR="005C7C36">
        <w:t xml:space="preserve">(EG 16). </w:t>
      </w:r>
    </w:p>
    <w:p w14:paraId="5655DEE1" w14:textId="77777777" w:rsidR="00D03EA5" w:rsidRDefault="005C7C36" w:rsidP="00E33946">
      <w:r>
        <w:t>Die Schranke räumt den Mitgliedsländern die Möglichkeit ein</w:t>
      </w:r>
      <w:r w:rsidR="00C5212F">
        <w:t>, kommerziellen, auf Ausbildung bezogenen</w:t>
      </w:r>
      <w:r w:rsidR="00B26AC7">
        <w:t xml:space="preserve"> </w:t>
      </w:r>
      <w:r w:rsidR="00C5212F">
        <w:t>Lizenzangeboten Priorität gegenüber der Schrankenregelung zu geben, falls diese die in der Schranke formulierten Nutzungen ebenfalls erlauben und wenn den Ausbildungseinrichtungen diese Lizenzen bekannt sind („are aware of“). (EG 17)</w:t>
      </w:r>
    </w:p>
    <w:p w14:paraId="375433FB" w14:textId="61D1A1D6" w:rsidR="00D03EA5" w:rsidRDefault="00D03EA5" w:rsidP="00F92089">
      <w:pPr>
        <w:widowControl w:val="0"/>
        <w:tabs>
          <w:tab w:val="left" w:pos="220"/>
          <w:tab w:val="left" w:pos="720"/>
        </w:tabs>
        <w:autoSpaceDE w:val="0"/>
        <w:autoSpaceDN w:val="0"/>
        <w:adjustRightInd w:val="0"/>
        <w:spacing w:before="0" w:beforeAutospacing="0" w:after="240" w:afterAutospacing="0"/>
      </w:pPr>
      <w:r w:rsidRPr="00B4250D">
        <w:rPr>
          <w:b/>
        </w:rPr>
        <w:t>Kritik</w:t>
      </w:r>
      <w:r>
        <w:t xml:space="preserve">: </w:t>
      </w:r>
      <w:r w:rsidR="007A53EC">
        <w:t>Der Vorschlag der EU-Kommission</w:t>
      </w:r>
      <w:r w:rsidR="002D3E7B">
        <w:t xml:space="preserve"> </w:t>
      </w:r>
      <w:r w:rsidR="00EC62F1">
        <w:t>Art.</w:t>
      </w:r>
      <w:r w:rsidR="007B18DC">
        <w:t xml:space="preserve"> </w:t>
      </w:r>
      <w:r w:rsidR="008E6C87">
        <w:t>4, 1 verwendet nach wie vor die Formulierung „for the sole purpose of illustration for teaching“, die in der Vergangenheit zuweilen zu einer sehr engen Interpre</w:t>
      </w:r>
      <w:r w:rsidR="007243BC">
        <w:t>t</w:t>
      </w:r>
      <w:r w:rsidR="008E6C87">
        <w:t xml:space="preserve">ation der erlaubten Nutzung </w:t>
      </w:r>
      <w:r w:rsidR="007243BC">
        <w:t xml:space="preserve">geführt hat – </w:t>
      </w:r>
      <w:r w:rsidR="007243BC">
        <w:softHyphen/>
      </w:r>
      <w:r w:rsidR="008E6C87">
        <w:t xml:space="preserve">so durch die unglücklichen Formulierung „Veranschaulichung </w:t>
      </w:r>
      <w:r w:rsidR="008E6C87" w:rsidRPr="003B6FC1">
        <w:rPr>
          <w:i/>
        </w:rPr>
        <w:t>im</w:t>
      </w:r>
      <w:r w:rsidR="008E6C87">
        <w:t xml:space="preserve"> Unterricht“ in § 52a UrhG in Deutschland. Die oben angeführten Erwägungsgründe legen</w:t>
      </w:r>
      <w:r w:rsidR="00B4250D">
        <w:t xml:space="preserve"> zwar</w:t>
      </w:r>
      <w:r w:rsidR="008E6C87">
        <w:t xml:space="preserve"> nahe, dass eindeutig die auch vom </w:t>
      </w:r>
      <w:r w:rsidR="007A53EC">
        <w:t>deutschen Bundesgerichtshof (</w:t>
      </w:r>
      <w:r w:rsidR="008E6C87">
        <w:t>BGH</w:t>
      </w:r>
      <w:r w:rsidR="007A53EC">
        <w:t>)</w:t>
      </w:r>
      <w:r w:rsidR="008E6C87">
        <w:t xml:space="preserve"> verfolgte Bedeutung „Veranschaulichung des Unterrichts“</w:t>
      </w:r>
      <w:r w:rsidR="00B4250D">
        <w:t xml:space="preserve">, einschließlich der Vor- und Nachbereitung des Unterrichts sowie für Prüfungen, gemeint ist. </w:t>
      </w:r>
      <w:r w:rsidR="002E4697">
        <w:t xml:space="preserve">Der Text in </w:t>
      </w:r>
      <w:r w:rsidR="00EC62F1">
        <w:t>Art.</w:t>
      </w:r>
      <w:r w:rsidR="000E02D3">
        <w:t xml:space="preserve"> </w:t>
      </w:r>
      <w:r w:rsidR="00B4250D">
        <w:t xml:space="preserve">4 sollte aber dies </w:t>
      </w:r>
      <w:r w:rsidR="000E02D3">
        <w:t>explizit</w:t>
      </w:r>
      <w:r w:rsidR="00B4250D">
        <w:t xml:space="preserve"> klarstellen.</w:t>
      </w:r>
    </w:p>
    <w:p w14:paraId="345B00A5" w14:textId="77777777" w:rsidR="00DA44B0" w:rsidRDefault="00C5212F" w:rsidP="00F92089">
      <w:pPr>
        <w:widowControl w:val="0"/>
        <w:tabs>
          <w:tab w:val="left" w:pos="220"/>
          <w:tab w:val="left" w:pos="720"/>
        </w:tabs>
        <w:autoSpaceDE w:val="0"/>
        <w:autoSpaceDN w:val="0"/>
        <w:adjustRightInd w:val="0"/>
        <w:spacing w:before="0" w:beforeAutospacing="0" w:after="240" w:afterAutospacing="0"/>
      </w:pPr>
      <w:r>
        <w:t>Es ist ein Fortschritt, das</w:t>
      </w:r>
      <w:r w:rsidR="00F845DF">
        <w:t>s</w:t>
      </w:r>
      <w:r w:rsidR="00D205A6">
        <w:t xml:space="preserve"> in Art. 4, 1, a die </w:t>
      </w:r>
      <w:r w:rsidR="00D205A6" w:rsidRPr="00F92089">
        <w:t>lästige und unzeitgemäße Beschränkung auf eine Nutzung „on the premises of an educat</w:t>
      </w:r>
      <w:r w:rsidR="00597E96">
        <w:t xml:space="preserve">ional establishment“ (so noch in § </w:t>
      </w:r>
      <w:r w:rsidR="00D205A6" w:rsidRPr="00F92089">
        <w:t xml:space="preserve">52b </w:t>
      </w:r>
      <w:r>
        <w:t xml:space="preserve">deutsches </w:t>
      </w:r>
      <w:r w:rsidR="00D205A6" w:rsidRPr="00F92089">
        <w:t xml:space="preserve">UrhG) zwar nicht ganz aufgehoben, aber über einen </w:t>
      </w:r>
      <w:r>
        <w:t>sicheren</w:t>
      </w:r>
      <w:r w:rsidR="007243BC">
        <w:t>, kontrollierten und authentifizierten</w:t>
      </w:r>
      <w:r w:rsidR="00B26AC7">
        <w:t xml:space="preserve"> </w:t>
      </w:r>
      <w:r w:rsidR="00D205A6" w:rsidRPr="00F92089">
        <w:t xml:space="preserve">Netzwerk-Zugriff erweitert wurde: „through a secure electronic network accessible only by the educational </w:t>
      </w:r>
      <w:r w:rsidR="00F92089">
        <w:t>e</w:t>
      </w:r>
      <w:r w:rsidR="00D205A6" w:rsidRPr="00F92089">
        <w:t>stablishment's pupils or students and teaching staff“.</w:t>
      </w:r>
      <w:r w:rsidR="00B26AC7">
        <w:t xml:space="preserve"> </w:t>
      </w:r>
    </w:p>
    <w:p w14:paraId="22349954" w14:textId="7EBFB7E5" w:rsidR="00F92089" w:rsidRDefault="00C5212F" w:rsidP="00F92089">
      <w:pPr>
        <w:widowControl w:val="0"/>
        <w:tabs>
          <w:tab w:val="left" w:pos="220"/>
          <w:tab w:val="left" w:pos="720"/>
        </w:tabs>
        <w:autoSpaceDE w:val="0"/>
        <w:autoSpaceDN w:val="0"/>
        <w:adjustRightInd w:val="0"/>
        <w:spacing w:before="0" w:beforeAutospacing="0" w:after="240" w:afterAutospacing="0"/>
      </w:pPr>
      <w:r>
        <w:t xml:space="preserve">Der externe Zugriff wird aber </w:t>
      </w:r>
      <w:r w:rsidR="000E02D3">
        <w:t xml:space="preserve">leider </w:t>
      </w:r>
      <w:r>
        <w:t>dadurch beschränkt, dass gemäß</w:t>
      </w:r>
      <w:r w:rsidR="00B26AC7">
        <w:t xml:space="preserve"> </w:t>
      </w:r>
      <w:r w:rsidRPr="00F92089">
        <w:t xml:space="preserve">Art. 4, 3 dieser externe Zugriff nur aus dem Land, in dem die Ausbildungseinrichtung besteht, erlaubt </w:t>
      </w:r>
      <w:r w:rsidR="003B6FC1">
        <w:t>sein soll</w:t>
      </w:r>
      <w:r w:rsidRPr="00F92089">
        <w:t xml:space="preserve">. Dies widerspricht dem im Titel von Art. 4 erwähnten </w:t>
      </w:r>
      <w:r>
        <w:t>„</w:t>
      </w:r>
      <w:r w:rsidRPr="00F92089">
        <w:t>cross-border teaching</w:t>
      </w:r>
      <w:r w:rsidR="00921F65">
        <w:t xml:space="preserve">“ </w:t>
      </w:r>
      <w:r w:rsidR="004473F8">
        <w:t>Ansatz.</w:t>
      </w:r>
      <w:r>
        <w:t xml:space="preserve"> Diese Einschränkung ist gravierend, unnötig und unzeitgemäß.</w:t>
      </w:r>
      <w:r w:rsidR="00F92089" w:rsidRPr="00F92089">
        <w:t xml:space="preserve"> </w:t>
      </w:r>
    </w:p>
    <w:p w14:paraId="56EAE7C2" w14:textId="77777777" w:rsidR="00832B94" w:rsidRDefault="00B4250D" w:rsidP="00832B94">
      <w:r>
        <w:lastRenderedPageBreak/>
        <w:t xml:space="preserve">Die </w:t>
      </w:r>
      <w:r w:rsidR="00832B94">
        <w:t xml:space="preserve">Formulierungen in Art. 4, 2 </w:t>
      </w:r>
      <w:r>
        <w:t xml:space="preserve">können </w:t>
      </w:r>
      <w:r w:rsidR="00832B94">
        <w:t>dazu führen, die Priorität einer rechtlich verbindlichen Schrankenregelung zugunsten von Lizenzvereinbarungen auszuhebeln.</w:t>
      </w:r>
      <w:r w:rsidR="00D55AF4">
        <w:t xml:space="preserve"> </w:t>
      </w:r>
      <w:r>
        <w:t>Die Bedingungen, unter denen Lizenzvereinbarungen bzw. –</w:t>
      </w:r>
      <w:r w:rsidR="008C7B31">
        <w:t>angebote Vorrang haben soll</w:t>
      </w:r>
      <w:r>
        <w:t xml:space="preserve">en, </w:t>
      </w:r>
      <w:r w:rsidR="006D64F0">
        <w:t>sind nicht ausr</w:t>
      </w:r>
      <w:r w:rsidR="008C7B31">
        <w:t>eichend klar definiert.</w:t>
      </w:r>
    </w:p>
    <w:p w14:paraId="0CC9D8D1" w14:textId="1FDE064B" w:rsidR="00520B10" w:rsidRDefault="002E4697" w:rsidP="00832B94">
      <w:r>
        <w:t>Die EU sol</w:t>
      </w:r>
      <w:r w:rsidR="00520B10">
        <w:t>lte aus der Begünstigung von beh</w:t>
      </w:r>
      <w:r>
        <w:t xml:space="preserve">inderten Personen durch </w:t>
      </w:r>
      <w:r w:rsidR="00EC62F1">
        <w:t>Art.</w:t>
      </w:r>
      <w:r w:rsidR="000E02D3">
        <w:t xml:space="preserve"> </w:t>
      </w:r>
      <w:r>
        <w:t xml:space="preserve">4 die Konsequenz ziehen, </w:t>
      </w:r>
      <w:r w:rsidR="00520B10">
        <w:t xml:space="preserve">die (bislang nur optionale) Schrankenregelung in </w:t>
      </w:r>
      <w:r w:rsidR="00EC62F1">
        <w:t>Art.</w:t>
      </w:r>
      <w:r w:rsidR="000E02D3">
        <w:t xml:space="preserve"> </w:t>
      </w:r>
      <w:r w:rsidR="00520B10">
        <w:t>5, 3, b v</w:t>
      </w:r>
      <w:r w:rsidR="00F845DF">
        <w:t xml:space="preserve">on InfoSoc 2011 jetzt auch als </w:t>
      </w:r>
      <w:r w:rsidR="00520B10">
        <w:t xml:space="preserve">obligatorisch zu erklären. Dies wäre ein großer </w:t>
      </w:r>
      <w:r w:rsidR="004473F8">
        <w:t xml:space="preserve">Fortschritt für alle behinderten </w:t>
      </w:r>
      <w:r w:rsidR="00520B10">
        <w:t>Personen, aber natürlich auch für die in Bildung und Wissenschaft Tätigen.</w:t>
      </w:r>
    </w:p>
    <w:p w14:paraId="368F8D83" w14:textId="23A43A99" w:rsidR="002E4697" w:rsidRDefault="002E4697" w:rsidP="00832B94">
      <w:r>
        <w:t xml:space="preserve">Die EU hat </w:t>
      </w:r>
      <w:r w:rsidR="00520B10">
        <w:t xml:space="preserve">allerdings </w:t>
      </w:r>
      <w:r>
        <w:t>bislang den Marrakesch-Vertrag</w:t>
      </w:r>
      <w:r w:rsidR="00520B10">
        <w:rPr>
          <w:rStyle w:val="Funotenzeichen"/>
        </w:rPr>
        <w:footnoteReference w:id="18"/>
      </w:r>
      <w:r w:rsidR="00B26AC7">
        <w:t xml:space="preserve"> </w:t>
      </w:r>
      <w:r>
        <w:t xml:space="preserve">nicht unterzeichnet, </w:t>
      </w:r>
      <w:r w:rsidR="00F845DF">
        <w:t>da verschiedene Mitgliedsländer</w:t>
      </w:r>
      <w:r>
        <w:t xml:space="preserve"> (Mitglieder im EU-Council) der Ansicht waren, dass die EU</w:t>
      </w:r>
      <w:r w:rsidR="00B26AC7">
        <w:t xml:space="preserve"> </w:t>
      </w:r>
      <w:r>
        <w:t>keine exklusive Kompetenz für die Unterzeichnung dieses Ve</w:t>
      </w:r>
      <w:r w:rsidR="00520B10">
        <w:t>rtrags habe. Diese Länder stimm</w:t>
      </w:r>
      <w:r>
        <w:t>en offenbar nicht allen Regelungen des Vertrags zu. Inzwischen</w:t>
      </w:r>
      <w:r w:rsidR="00B26AC7">
        <w:t xml:space="preserve"> </w:t>
      </w:r>
      <w:r>
        <w:t xml:space="preserve">hat der EuGH bzw. der </w:t>
      </w:r>
      <w:r w:rsidR="004C5B02">
        <w:t>Generalanwalt</w:t>
      </w:r>
      <w:r>
        <w:t xml:space="preserve"> festgestellt, dass die EU sehr wohl die exklusive Kompetenz</w:t>
      </w:r>
      <w:r w:rsidR="00B26AC7">
        <w:t xml:space="preserve"> </w:t>
      </w:r>
      <w:r>
        <w:t>zur Unterzeichnung habe</w:t>
      </w:r>
      <w:r w:rsidR="007A53EC">
        <w:t>.</w:t>
      </w:r>
      <w:r w:rsidR="007A53EC">
        <w:rPr>
          <w:rStyle w:val="Funotenzeichen"/>
        </w:rPr>
        <w:footnoteReference w:id="19"/>
      </w:r>
      <w:r>
        <w:t xml:space="preserve"> Möglicherweise </w:t>
      </w:r>
      <w:r w:rsidR="00520B10">
        <w:t>sollte</w:t>
      </w:r>
      <w:r>
        <w:t xml:space="preserve"> </w:t>
      </w:r>
      <w:r w:rsidR="00520B10">
        <w:t xml:space="preserve">dann </w:t>
      </w:r>
      <w:r>
        <w:t xml:space="preserve">auch </w:t>
      </w:r>
      <w:r w:rsidR="007A53EC">
        <w:t xml:space="preserve">die in InfoSoc 2001 </w:t>
      </w:r>
      <w:r w:rsidR="00EC62F1">
        <w:t>Art.</w:t>
      </w:r>
      <w:r w:rsidR="000E02D3">
        <w:t xml:space="preserve"> </w:t>
      </w:r>
      <w:r w:rsidR="007A53EC">
        <w:t xml:space="preserve">5, 3, </w:t>
      </w:r>
      <w:r w:rsidR="00520B10">
        <w:t>b</w:t>
      </w:r>
      <w:r w:rsidR="00B26AC7">
        <w:t xml:space="preserve"> </w:t>
      </w:r>
      <w:r w:rsidR="00520B10">
        <w:t>festgelegte „</w:t>
      </w:r>
      <w:r>
        <w:t>Beschränkung auf den nicht-kommerziellen Gebrauch wegfallen.</w:t>
      </w:r>
      <w:r w:rsidR="00520B10">
        <w:t>“</w:t>
      </w:r>
    </w:p>
    <w:p w14:paraId="3C34AE49" w14:textId="11B9A3EE" w:rsidR="008C7B31" w:rsidRDefault="008C7B31" w:rsidP="009125F7">
      <w:pPr>
        <w:pStyle w:val="berschrift2"/>
      </w:pPr>
      <w:bookmarkStart w:id="7" w:name="kulturellsErbe"/>
      <w:bookmarkEnd w:id="7"/>
      <w:r>
        <w:t xml:space="preserve">Regelung zur Bewahrung des kulturellen Erbes in </w:t>
      </w:r>
      <w:r w:rsidR="00EC62F1">
        <w:t>Art.</w:t>
      </w:r>
      <w:r>
        <w:t>5</w:t>
      </w:r>
    </w:p>
    <w:p w14:paraId="4C0EFC3D" w14:textId="61829B1E" w:rsidR="008C7B31" w:rsidRDefault="008C7B31" w:rsidP="008C7B31">
      <w:r w:rsidRPr="001516B6">
        <w:rPr>
          <w:b/>
        </w:rPr>
        <w:t>Maßnahme</w:t>
      </w:r>
      <w:r>
        <w:t>:</w:t>
      </w:r>
      <w:r w:rsidR="00941803">
        <w:t xml:space="preserve"> </w:t>
      </w:r>
      <w:r w:rsidR="00465F0D">
        <w:t xml:space="preserve">Kulturellen Gedächtnisinstitutionen </w:t>
      </w:r>
      <w:r w:rsidR="006D64F0">
        <w:t>soll über eine neue Schranke (</w:t>
      </w:r>
      <w:r w:rsidR="007A53EC">
        <w:t xml:space="preserve">Vorschlag der EU-Kommission </w:t>
      </w:r>
      <w:r w:rsidR="00EC62F1">
        <w:t>Art.</w:t>
      </w:r>
      <w:r w:rsidR="00311F60">
        <w:t xml:space="preserve"> </w:t>
      </w:r>
      <w:r w:rsidR="006D64F0">
        <w:t>5) das Recht eingeräumt werden, von Werken aus ihren eigenen Beständen Kopien (Vervielfältigungen) in einem solchen Umfang anzufertigen, die zur Bewahrung dieser Werke nötig sind.</w:t>
      </w:r>
      <w:r w:rsidR="00B26AC7">
        <w:t xml:space="preserve"> </w:t>
      </w:r>
      <w:r w:rsidR="006D64F0">
        <w:t xml:space="preserve">Erwägungsgründe 18-21 präzisieren </w:t>
      </w:r>
      <w:r w:rsidR="00EC62F1">
        <w:t>Art.</w:t>
      </w:r>
      <w:r w:rsidR="006743B7">
        <w:t xml:space="preserve"> </w:t>
      </w:r>
      <w:r w:rsidR="006D64F0">
        <w:t>5.</w:t>
      </w:r>
      <w:r w:rsidR="0095302D">
        <w:t xml:space="preserve"> Es wird (zum Glück) nicht versucht, zu definieren, was unter „kulturellem Erbe“ zu verstehen ist. Auch gibt es keine Zeitbeschränkung, ab welchem Zeitpunkt ein Werk Teil des kulturellen Erbes ist.</w:t>
      </w:r>
    </w:p>
    <w:p w14:paraId="75EF8234" w14:textId="77777777" w:rsidR="004473F8" w:rsidRDefault="006D64F0" w:rsidP="008C7B31">
      <w:r w:rsidRPr="0095302D">
        <w:rPr>
          <w:b/>
        </w:rPr>
        <w:t>Kritik</w:t>
      </w:r>
      <w:r>
        <w:t>: Diese Schranke schafft zwar Klarheit über</w:t>
      </w:r>
      <w:r w:rsidR="0095302D">
        <w:t xml:space="preserve"> ein digitales Vervielfältigungsrecht</w:t>
      </w:r>
      <w:r w:rsidR="004C5B02">
        <w:t>,</w:t>
      </w:r>
      <w:r>
        <w:t xml:space="preserve"> das an sich selbstverständlich ist, </w:t>
      </w:r>
      <w:r w:rsidR="0095302D">
        <w:t>versäumt es aber festzulegen, in welcher Form, diese neuen Vervielfältigungen auch genutzt werden können</w:t>
      </w:r>
      <w:r w:rsidR="00C87A68">
        <w:t xml:space="preserve">. </w:t>
      </w:r>
    </w:p>
    <w:p w14:paraId="00630120" w14:textId="6624AAD9" w:rsidR="007243BC" w:rsidRDefault="001C1FE6" w:rsidP="008C7B31">
      <w:r w:rsidRPr="004F6AF6">
        <w:t xml:space="preserve">Kultureinrichtungen </w:t>
      </w:r>
      <w:r w:rsidR="00C87A68">
        <w:t xml:space="preserve">wie Bibliotheken, Archive oder Museen verstehen sich aber zunehmend nicht mehr als nur Bewahrungseinrichtungen, sondern auch und insbesondere als Nutzungseinrichtungen, welche ihre </w:t>
      </w:r>
      <w:r w:rsidR="006743B7">
        <w:t xml:space="preserve">nun erlaubten digitalen Bewahrungskopien von bisherigen analogen Beständen </w:t>
      </w:r>
      <w:r w:rsidR="00C87A68">
        <w:t xml:space="preserve">auch über externen Zugriff, öffentlich zugänglich machen </w:t>
      </w:r>
      <w:r w:rsidR="007243BC">
        <w:t>wollen/</w:t>
      </w:r>
      <w:r w:rsidR="006743B7">
        <w:t>sollten</w:t>
      </w:r>
      <w:r w:rsidR="00C87A68">
        <w:t>.</w:t>
      </w:r>
      <w:r w:rsidR="00B26AC7">
        <w:t xml:space="preserve"> </w:t>
      </w:r>
    </w:p>
    <w:p w14:paraId="712EE264" w14:textId="77777777" w:rsidR="00D765FF" w:rsidRPr="008C7B31" w:rsidRDefault="00C87A68" w:rsidP="008C7B31">
      <w:r>
        <w:t>Die</w:t>
      </w:r>
      <w:r w:rsidR="004473F8">
        <w:t>se Nutzung</w:t>
      </w:r>
      <w:r>
        <w:t xml:space="preserve"> sollte</w:t>
      </w:r>
      <w:r w:rsidR="0095302D">
        <w:t xml:space="preserve"> für kontrollierbare und authentifizierbare Zwec</w:t>
      </w:r>
      <w:r w:rsidR="00DD788C">
        <w:t>ke von Forschung und Ausbildung oder für private Zwecke</w:t>
      </w:r>
      <w:r w:rsidR="007243BC">
        <w:t xml:space="preserve"> mö</w:t>
      </w:r>
      <w:r>
        <w:t xml:space="preserve">glich </w:t>
      </w:r>
      <w:r w:rsidR="004473F8">
        <w:t>sein</w:t>
      </w:r>
      <w:r>
        <w:t xml:space="preserve"> – zumal dann, wenn die Originale der erstellten Digitalisate aus welchen Gründen </w:t>
      </w:r>
      <w:r w:rsidR="004473F8">
        <w:t xml:space="preserve">auch immer </w:t>
      </w:r>
      <w:r>
        <w:t>nicht genutzt werden können/sollen. Diese</w:t>
      </w:r>
      <w:r w:rsidR="00DD788C">
        <w:t xml:space="preserve"> Nutzung </w:t>
      </w:r>
      <w:r w:rsidR="0095302D">
        <w:t xml:space="preserve">sollte über diese </w:t>
      </w:r>
      <w:r w:rsidR="00DD788C">
        <w:t xml:space="preserve">Schranke </w:t>
      </w:r>
      <w:r w:rsidR="0095302D">
        <w:t xml:space="preserve">oder über eine andere neue </w:t>
      </w:r>
      <w:r w:rsidR="0095302D">
        <w:lastRenderedPageBreak/>
        <w:t>Schranke explizit erlaubt werden</w:t>
      </w:r>
      <w:r w:rsidR="00DD788C">
        <w:t>.</w:t>
      </w:r>
      <w:r w:rsidR="000D1290">
        <w:t xml:space="preserve"> </w:t>
      </w:r>
      <w:r w:rsidR="00D765FF">
        <w:t>Aufgenommen werden sollte das Recht einer technischen Migration von einmal digitalisierten Werken.</w:t>
      </w:r>
    </w:p>
    <w:p w14:paraId="2EB01842" w14:textId="62F9455C" w:rsidR="00B4250D" w:rsidRDefault="0097162F" w:rsidP="009125F7">
      <w:pPr>
        <w:pStyle w:val="berschrift2"/>
      </w:pPr>
      <w:bookmarkStart w:id="8" w:name="vergriffeneWerke"/>
      <w:bookmarkEnd w:id="8"/>
      <w:r>
        <w:t>Regelung für den Umgang mit</w:t>
      </w:r>
      <w:r w:rsidR="001B4A89">
        <w:t xml:space="preserve"> vergriffenen Werken durch </w:t>
      </w:r>
      <w:r w:rsidR="00EC62F1">
        <w:t>Art.</w:t>
      </w:r>
      <w:r w:rsidR="001B4A89">
        <w:t>7</w:t>
      </w:r>
    </w:p>
    <w:p w14:paraId="711DE0BA" w14:textId="2E573DD1" w:rsidR="00C5038E" w:rsidRDefault="001516B6" w:rsidP="00832B94">
      <w:r w:rsidRPr="001516B6">
        <w:rPr>
          <w:b/>
        </w:rPr>
        <w:t>Maßnahme</w:t>
      </w:r>
      <w:r>
        <w:t xml:space="preserve">: </w:t>
      </w:r>
      <w:r w:rsidR="007243BC">
        <w:t>Da</w:t>
      </w:r>
      <w:r w:rsidR="0097162F">
        <w:t xml:space="preserve"> für viele vergriffene Werke weiter Urheberrechtsschutz besteht, sieht es die EU-K</w:t>
      </w:r>
      <w:r w:rsidR="00465F0D">
        <w:t>ommission</w:t>
      </w:r>
      <w:r w:rsidR="0097162F">
        <w:t xml:space="preserve"> als notwendig an</w:t>
      </w:r>
      <w:r w:rsidR="004179E1">
        <w:t>, eine</w:t>
      </w:r>
      <w:r w:rsidR="00B26AC7">
        <w:t xml:space="preserve"> </w:t>
      </w:r>
      <w:r w:rsidR="004179E1">
        <w:t>Schrankenregelung zugunsten der kulturbewahrenden Ins</w:t>
      </w:r>
      <w:r w:rsidR="00F41EF6">
        <w:t>t</w:t>
      </w:r>
      <w:r w:rsidR="004179E1">
        <w:t>itutionen (Bibliotheken etc.) den Ländern vorzuschlagen</w:t>
      </w:r>
      <w:r w:rsidR="006B3F51">
        <w:t xml:space="preserve"> („shall prov</w:t>
      </w:r>
      <w:r w:rsidR="006743B7">
        <w:t>ide“)</w:t>
      </w:r>
      <w:r w:rsidR="00F41EF6">
        <w:t xml:space="preserve">. </w:t>
      </w:r>
      <w:r w:rsidR="00C5038E">
        <w:t>D.h. Bibliotheken bzw. allgemein</w:t>
      </w:r>
      <w:r w:rsidR="008E773B">
        <w:t xml:space="preserve"> „</w:t>
      </w:r>
      <w:r w:rsidR="008E773B">
        <w:rPr>
          <w:noProof/>
        </w:rPr>
        <w:t xml:space="preserve">cultural heritage institutions“ soll erlaubt sein, urheberrechtsgeschützte vergriffene (nur) aus ihren eigenen Beständen zu digitalisieren, verbreiten und öffentlich zugänglich zu machen. Dies </w:t>
      </w:r>
      <w:r w:rsidR="008E773B">
        <w:t>soll dann auch eine grenzüberschreitende Nutzung möglich machen. (vgl. EG 22-30)</w:t>
      </w:r>
    </w:p>
    <w:p w14:paraId="349F5C7E" w14:textId="561F9BC3" w:rsidR="001516B6" w:rsidRDefault="008E773B" w:rsidP="00832B94">
      <w:pPr>
        <w:rPr>
          <w:noProof/>
        </w:rPr>
      </w:pPr>
      <w:r>
        <w:t>Allerdings soll dies nur über</w:t>
      </w:r>
      <w:r w:rsidR="00F41EF6">
        <w:t xml:space="preserve"> </w:t>
      </w:r>
      <w:r w:rsidR="004179E1">
        <w:t>Lizenzierungsvereinbarungen (bevorzugt „collective licensing“)</w:t>
      </w:r>
      <w:r>
        <w:t xml:space="preserve"> mit den entsprechenden Verwertungsgesellschaften möglich sein. </w:t>
      </w:r>
      <w:r w:rsidR="006743B7">
        <w:t xml:space="preserve">D.h. </w:t>
      </w:r>
      <w:r w:rsidR="001C1FE6" w:rsidRPr="004F6AF6">
        <w:t xml:space="preserve">Kultureinrichtungen </w:t>
      </w:r>
      <w:r w:rsidR="006743B7">
        <w:t xml:space="preserve">dürfen nicht von sich </w:t>
      </w:r>
      <w:r w:rsidR="00363D7D">
        <w:t xml:space="preserve">aus aktiv werden und </w:t>
      </w:r>
      <w:r w:rsidR="006743B7">
        <w:t>ihre v</w:t>
      </w:r>
      <w:r w:rsidR="00363D7D">
        <w:t>ergriffenen Werke digitalisier</w:t>
      </w:r>
      <w:r w:rsidR="006743B7">
        <w:t>en</w:t>
      </w:r>
      <w:r w:rsidR="00363D7D">
        <w:t>, sondern  nur dann „</w:t>
      </w:r>
      <w:r w:rsidR="00363D7D">
        <w:rPr>
          <w:noProof/>
        </w:rPr>
        <w:t>when a collective management organisation, on behalf of its members, concludes a non-exclusive licence for non-commercial purposes with a cultural heritage institution“.</w:t>
      </w:r>
    </w:p>
    <w:p w14:paraId="0298EA7C" w14:textId="714F9A3F" w:rsidR="008E773B" w:rsidRDefault="008E773B" w:rsidP="00832B94">
      <w:r>
        <w:rPr>
          <w:noProof/>
        </w:rPr>
        <w:t>Die Verwertungsgesellschaften sollen (nicht-exlusive) Lizenzierungen auch von Werken solcher Autoren zuteilen dürfen, die nicht Mitglied der jeweiligen Verwertungsge</w:t>
      </w:r>
      <w:r w:rsidR="00421A99">
        <w:rPr>
          <w:noProof/>
        </w:rPr>
        <w:t>sellschaft sind – a</w:t>
      </w:r>
      <w:r>
        <w:rPr>
          <w:noProof/>
        </w:rPr>
        <w:t>llerdings</w:t>
      </w:r>
      <w:r w:rsidR="00421A99">
        <w:rPr>
          <w:noProof/>
        </w:rPr>
        <w:t xml:space="preserve"> dies nur unter der Bedingung, dass die Verwertungsgesellschaft für den betreffenden Werktyp eine repräsentative Anzahl von Autoren als ihre Mitglieder nachweisen kann. (Art. 7, 1, 1) </w:t>
      </w:r>
    </w:p>
    <w:p w14:paraId="0C3C8BC7" w14:textId="77777777" w:rsidR="00C5038E" w:rsidRDefault="001516B6" w:rsidP="005A227E">
      <w:r w:rsidRPr="001516B6">
        <w:rPr>
          <w:b/>
        </w:rPr>
        <w:t>Kritik</w:t>
      </w:r>
      <w:r>
        <w:t xml:space="preserve">: </w:t>
      </w:r>
      <w:r w:rsidR="00465F0D">
        <w:t xml:space="preserve">Eine Regelung für vergriffene </w:t>
      </w:r>
      <w:r w:rsidRPr="001B4A89">
        <w:t>Werke</w:t>
      </w:r>
      <w:r w:rsidR="00465F0D">
        <w:t xml:space="preserve"> </w:t>
      </w:r>
      <w:r w:rsidR="00F41EF6" w:rsidRPr="001B4A89">
        <w:t>ist im Prinzip</w:t>
      </w:r>
      <w:r w:rsidR="005A227E">
        <w:t xml:space="preserve"> zu begrüßen. Jedoch ist dieser A</w:t>
      </w:r>
      <w:r w:rsidR="00F41EF6" w:rsidRPr="001B4A89">
        <w:t xml:space="preserve">rtikel </w:t>
      </w:r>
      <w:r w:rsidR="006743B7">
        <w:t xml:space="preserve">mit seinen 5 Absätzen und 9 einschränkenden, untereinander verschachtelten Bedingungen </w:t>
      </w:r>
      <w:r w:rsidR="00F41EF6" w:rsidRPr="001B4A89">
        <w:t>so komplex und unverständlich angelegt, dass er kaum Klarheit für die Nutzung vergriffener Werke schaffen kann.</w:t>
      </w:r>
      <w:r w:rsidR="006743B7">
        <w:t xml:space="preserve"> Vermutlich </w:t>
      </w:r>
      <w:r w:rsidR="00363D7D">
        <w:t xml:space="preserve">ist </w:t>
      </w:r>
      <w:r w:rsidR="006743B7">
        <w:t>dieser Komplexität durch die Sorge begründet, dass diese neue Erlaubnis stark in die exklusiven Rechte von Autoren bzw. deren Erben eingreift. Allerdings bleibt diesen das Recht unbenommen, der Digitalisierung und d</w:t>
      </w:r>
      <w:r w:rsidR="00363D7D">
        <w:t>er entsprechenden Nutzung jederzeit zu wi</w:t>
      </w:r>
      <w:r w:rsidR="006743B7">
        <w:t>dersprechen</w:t>
      </w:r>
      <w:r w:rsidR="00363D7D">
        <w:t xml:space="preserve">. </w:t>
      </w:r>
    </w:p>
    <w:p w14:paraId="60AC104F" w14:textId="17814133" w:rsidR="0097162F" w:rsidRDefault="00421A99" w:rsidP="005A227E">
      <w:r>
        <w:t>Unklar ist, was</w:t>
      </w:r>
      <w:r w:rsidR="00363D7D">
        <w:t xml:space="preserve"> geschehen</w:t>
      </w:r>
      <w:r w:rsidR="003B6FC1">
        <w:t xml:space="preserve"> soll</w:t>
      </w:r>
      <w:r w:rsidR="00363D7D">
        <w:t xml:space="preserve">, wenn der </w:t>
      </w:r>
      <w:r>
        <w:t xml:space="preserve">vorgesehene </w:t>
      </w:r>
      <w:r w:rsidR="00363D7D">
        <w:t xml:space="preserve">Widerspruch </w:t>
      </w:r>
      <w:r>
        <w:t xml:space="preserve">von Autoren </w:t>
      </w:r>
      <w:r w:rsidR="00363D7D">
        <w:t xml:space="preserve">erst dann erfolgt, wenn die Digitalisierung und Zugänglichmachung durch die </w:t>
      </w:r>
      <w:r w:rsidR="001C1FE6" w:rsidRPr="004F6AF6">
        <w:t>Kultureinrichtungen</w:t>
      </w:r>
      <w:r w:rsidR="00363D7D">
        <w:t xml:space="preserve"> schon erfolgt ist? Oder soll </w:t>
      </w:r>
      <w:r>
        <w:t xml:space="preserve">ihnen  </w:t>
      </w:r>
      <w:r w:rsidR="00363D7D">
        <w:t>auferlegt werden, wie es bei der Regelung für verwaiste Werken geschehen ist, vor einer Digitalisierung durch eine sorgfältige Suche („diligent search“) Kontakt zu den Rechtsinhabern (primär den Autoren) aufzunehmen und deren Zustimmung einzuholen? Oder bleibt diese Vergewisserung in der Zuständigkeit der Verwertungsgesellschaften?</w:t>
      </w:r>
      <w:r w:rsidR="005A227E">
        <w:t xml:space="preserve"> In Art. 7 heißt es dazu nur lapidar: “Member states </w:t>
      </w:r>
      <w:r w:rsidR="005A227E">
        <w:rPr>
          <w:noProof/>
        </w:rPr>
        <w:t xml:space="preserve">shall provide that appropriate publicity measures are taken … including during a reasonable period of time before the works or other subject-matter are digitised, distributed, communicated to the public or made available”. Vielleicht deutet die Verwendung von „publicity measures“ darauf hin, dass keine </w:t>
      </w:r>
      <w:r w:rsidR="005A227E">
        <w:rPr>
          <w:noProof/>
        </w:rPr>
        <w:lastRenderedPageBreak/>
        <w:t>„diligent search“ nötig sein muss, sondern das eine öffentliche (zeitlich befristete) Bekanntmachung des Vorhabens ausreicht.</w:t>
      </w:r>
      <w:r w:rsidR="00C5038E">
        <w:rPr>
          <w:rStyle w:val="Funotenzeichen"/>
          <w:noProof/>
        </w:rPr>
        <w:footnoteReference w:id="20"/>
      </w:r>
    </w:p>
    <w:p w14:paraId="43FA8BED" w14:textId="2AFA427A" w:rsidR="001B4A89" w:rsidRDefault="00421A99" w:rsidP="00832B94">
      <w:r>
        <w:t xml:space="preserve">Ebenfalls ist nicht eindeutig geregelt, wie zu verfahren ist, wenn ein die Rechte besitzender Verlag das vergriffene Werke wieder neu und zwar auch digital auflegt. Muss dann die Nutzung des Werkes durch die </w:t>
      </w:r>
      <w:r w:rsidR="001C1FE6" w:rsidRPr="004F6AF6">
        <w:t xml:space="preserve">Kultureinrichtungen </w:t>
      </w:r>
      <w:r>
        <w:t>eingestellt bzw. das Digitisat sogar gelöscht werden?</w:t>
      </w:r>
    </w:p>
    <w:p w14:paraId="6B50CFFE" w14:textId="49B81FAD" w:rsidR="00421A99" w:rsidRDefault="00421A99" w:rsidP="00832B94">
      <w:r>
        <w:t>Offensichtlich wird den Mitgliedsstaaten ein breiter Spielraum eingeräumt. Das kann auch wegen verschiedener kultureller Gepflogenheiten positiv sein, widerspricht aber dem angestrebten Ziel einer umfassenden Harmonisierung des Urheberrechts in der EU.</w:t>
      </w:r>
    </w:p>
    <w:p w14:paraId="2597C000" w14:textId="77777777" w:rsidR="00AE582C" w:rsidRDefault="00A32BC3" w:rsidP="00832B94">
      <w:r>
        <w:t xml:space="preserve">Ingesamt macht diese neue Schranke zugunsten der Digitalisierung und der Nutzung vergriffener Werke den Eindruck, dass sie nur unzureichend auf die Bedürfnisse und Besonderheiten von </w:t>
      </w:r>
      <w:r w:rsidR="001C1FE6" w:rsidRPr="004F6AF6">
        <w:t xml:space="preserve">Kultureinrichtungen </w:t>
      </w:r>
      <w:r>
        <w:t xml:space="preserve">eingegangen ist. So unterstützt z.B. der Deutsche Bibliotheksverband </w:t>
      </w:r>
      <w:r w:rsidR="001C1FE6">
        <w:t xml:space="preserve">(dbv) </w:t>
      </w:r>
      <w:r>
        <w:t>diese Initiative im EU-Vorschlag im Prinzip, hat aber zahlreiche Verbesserungsvorschläge</w:t>
      </w:r>
      <w:bookmarkStart w:id="9" w:name="_Ref349407510"/>
      <w:r w:rsidR="004F6AF6">
        <w:rPr>
          <w:rStyle w:val="Funotenzeichen"/>
        </w:rPr>
        <w:footnoteReference w:id="21"/>
      </w:r>
      <w:bookmarkEnd w:id="9"/>
      <w:r>
        <w:t xml:space="preserve">, z.B. das es kleineren Institutionen erlaubt sein </w:t>
      </w:r>
      <w:r w:rsidR="001C1FE6">
        <w:t>soll</w:t>
      </w:r>
      <w:r>
        <w:t>, die Digitalierung durch Dritte vornehmen zu lassen. Auch wird es nicht für angebracht gehalten, dass schon eine Übersetzun</w:t>
      </w:r>
      <w:r w:rsidR="001C1FE6">
        <w:t>g des vergriffenen Originalwerks</w:t>
      </w:r>
      <w:r w:rsidR="00FD6068">
        <w:t xml:space="preserve"> </w:t>
      </w:r>
      <w:r>
        <w:t xml:space="preserve"> dessen Digit</w:t>
      </w:r>
      <w:r w:rsidR="004F6AF6">
        <w:t>alisierung und Nutzung aussetzt</w:t>
      </w:r>
      <w:r>
        <w:t>.</w:t>
      </w:r>
      <w:r w:rsidR="004F6AF6">
        <w:t xml:space="preserve"> Ebenso sollte die </w:t>
      </w:r>
      <w:r w:rsidR="004F6AF6" w:rsidRPr="004F6AF6">
        <w:t xml:space="preserve">Nutzung vergriffener literarischer Vorlagen von Filmen erlaubt sein. </w:t>
      </w:r>
    </w:p>
    <w:p w14:paraId="391AC677" w14:textId="71212CB8" w:rsidR="004F6AF6" w:rsidRDefault="00A32BC3" w:rsidP="00832B94">
      <w:r>
        <w:t>Vor allem aber wird es als Problem angesehen, dass</w:t>
      </w:r>
      <w:r w:rsidR="004F6AF6">
        <w:t xml:space="preserve"> den Verwertungsgesellschaft das ausschließliche Lizenzierungsrecht zugestanden wird. Der dbv fordert daher eine </w:t>
      </w:r>
      <w:r w:rsidR="004F6AF6" w:rsidRPr="004F6AF6">
        <w:t xml:space="preserve"> Art „Fallback“–Möglichkeit für den Fall nicht zustande</w:t>
      </w:r>
      <w:r w:rsidR="00F06A10">
        <w:t>gekommen</w:t>
      </w:r>
      <w:r w:rsidR="004F6AF6" w:rsidRPr="004F6AF6">
        <w:t>er Vereinbarungen: Den Kultureinrichtungen sollte „die Nutzung vergriffener Werke im gesetzlich vorgesehenen Rahmen auch ohne diesen Gesamtvertrag gegen eine angemessene Lizenzgebühr erlaubt werden“. Für die erforderliche Vergütung sollten „ objektive Kriterien wie z.B. der Vergütung vergleichbarer Nutzungen“ durch die Schranke vorgegeben werden.</w:t>
      </w:r>
    </w:p>
    <w:p w14:paraId="7DD6EC25" w14:textId="6F0632EE" w:rsidR="003C01E6" w:rsidRDefault="001516B6" w:rsidP="005D68C6">
      <w:pPr>
        <w:pStyle w:val="berschrift1"/>
      </w:pPr>
      <w:bookmarkStart w:id="10" w:name="defizite"/>
      <w:bookmarkEnd w:id="10"/>
      <w:r w:rsidRPr="003C01E6">
        <w:t>Weitere</w:t>
      </w:r>
      <w:r>
        <w:t xml:space="preserve"> </w:t>
      </w:r>
      <w:r w:rsidR="00B601FA">
        <w:t>Defizite</w:t>
      </w:r>
    </w:p>
    <w:p w14:paraId="392E3A9B" w14:textId="77777777" w:rsidR="00AB1D0C" w:rsidRPr="00AB1D0C" w:rsidRDefault="00AB1D0C" w:rsidP="00AB1D0C">
      <w:pPr>
        <w:pStyle w:val="Listenabsatz"/>
        <w:keepNext/>
        <w:keepLines/>
        <w:numPr>
          <w:ilvl w:val="0"/>
          <w:numId w:val="5"/>
        </w:numPr>
        <w:contextualSpacing w:val="0"/>
        <w:outlineLvl w:val="1"/>
        <w:rPr>
          <w:rFonts w:asciiTheme="majorHAnsi" w:eastAsiaTheme="majorEastAsia" w:hAnsiTheme="majorHAnsi" w:cstheme="majorBidi"/>
          <w:b/>
          <w:bCs/>
          <w:vanish/>
          <w:sz w:val="28"/>
          <w:szCs w:val="26"/>
        </w:rPr>
      </w:pPr>
    </w:p>
    <w:p w14:paraId="1574706F" w14:textId="5EEBD92A" w:rsidR="00C51891" w:rsidRDefault="00C51891" w:rsidP="005D68C6">
      <w:pPr>
        <w:pStyle w:val="berschrift2"/>
      </w:pPr>
      <w:bookmarkStart w:id="11" w:name="optional"/>
      <w:bookmarkStart w:id="12" w:name="ausleiheversand"/>
      <w:bookmarkEnd w:id="11"/>
      <w:bookmarkEnd w:id="12"/>
      <w:r>
        <w:t>Au</w:t>
      </w:r>
      <w:r w:rsidRPr="002429AD">
        <w:t>sleihe</w:t>
      </w:r>
      <w:r>
        <w:t xml:space="preserve"> und Versand digitaler Objekte durch</w:t>
      </w:r>
      <w:r w:rsidR="00B26AC7">
        <w:t xml:space="preserve"> </w:t>
      </w:r>
      <w:r>
        <w:t>Bibliotheken bleibt ausgeklammert</w:t>
      </w:r>
    </w:p>
    <w:p w14:paraId="2F0A1D67" w14:textId="4381A1FF" w:rsidR="004473F8" w:rsidRDefault="004473F8" w:rsidP="00620178">
      <w:r>
        <w:t>Der Vorschlag der EU-Kommissio</w:t>
      </w:r>
      <w:r w:rsidR="00C51891">
        <w:t>n geht mit Blick auf Bibliotheks</w:t>
      </w:r>
      <w:r>
        <w:t>leistungen lediglich auf das erwähnte Vervielfältigungsrecht zum Zwecke der Bewahrung von Objekten des kulturellen Erbes und den Umgang mit vergriffenen Werken</w:t>
      </w:r>
      <w:r w:rsidR="007243BC">
        <w:t xml:space="preserve"> ein</w:t>
      </w:r>
      <w:r>
        <w:t xml:space="preserve">. </w:t>
      </w:r>
    </w:p>
    <w:p w14:paraId="5F307BDE" w14:textId="3D7042D9" w:rsidR="00536C21" w:rsidRDefault="004473F8" w:rsidP="00620178">
      <w:pPr>
        <w:rPr>
          <w:rStyle w:val="Betont"/>
          <w:rFonts w:eastAsia="Times New Roman" w:cs="Times New Roman"/>
          <w:b w:val="0"/>
        </w:rPr>
      </w:pPr>
      <w:r>
        <w:t xml:space="preserve">Nicht geregelt ist das Recht auf den Erwerb von digitalen Objekten allgemein bzw. spezieller das </w:t>
      </w:r>
      <w:r w:rsidRPr="00620178">
        <w:t>R</w:t>
      </w:r>
      <w:r w:rsidR="00465F0D" w:rsidRPr="00620178">
        <w:t xml:space="preserve">echt auf das Ausleihen solcher </w:t>
      </w:r>
      <w:r w:rsidRPr="00620178">
        <w:t xml:space="preserve">über Lizenz oder Kauf „erworbener“ </w:t>
      </w:r>
      <w:r w:rsidRPr="00620178">
        <w:lastRenderedPageBreak/>
        <w:t>digitaler Objekte.</w:t>
      </w:r>
      <w:r w:rsidR="00832993" w:rsidRPr="00620178">
        <w:t xml:space="preserve"> </w:t>
      </w:r>
      <w:r w:rsidR="00DD7FB9" w:rsidRPr="00620178">
        <w:t>D</w:t>
      </w:r>
      <w:r w:rsidR="00DD7FB9" w:rsidRPr="00620178">
        <w:rPr>
          <w:rStyle w:val="Betont"/>
          <w:rFonts w:eastAsia="Times New Roman" w:cs="Times New Roman"/>
          <w:b w:val="0"/>
        </w:rPr>
        <w:t>er Europäische Gerichtshof hat Mitte November 2016 mit Verweis auf die</w:t>
      </w:r>
      <w:r w:rsidR="00DD7FB9" w:rsidRPr="00620178">
        <w:rPr>
          <w:rStyle w:val="Betont"/>
          <w:rFonts w:eastAsia="Times New Roman" w:cs="Times New Roman"/>
        </w:rPr>
        <w:t xml:space="preserve"> </w:t>
      </w:r>
      <w:r w:rsidR="00DD7FB9" w:rsidRPr="00620178">
        <w:rPr>
          <w:rFonts w:eastAsia="Times New Roman" w:cs="Times New Roman"/>
        </w:rPr>
        <w:t xml:space="preserve">EU-Richtlinie zum Vermiet- und Verleihrecht von 1992 </w:t>
      </w:r>
      <w:r w:rsidR="00536C21">
        <w:rPr>
          <w:rFonts w:eastAsia="Times New Roman" w:cs="Times New Roman"/>
        </w:rPr>
        <w:t>in einer „dynamischen“ un</w:t>
      </w:r>
      <w:r w:rsidR="00405A2E">
        <w:rPr>
          <w:rFonts w:eastAsia="Times New Roman" w:cs="Times New Roman"/>
        </w:rPr>
        <w:t xml:space="preserve">d „evolutiven“ Auslegung (so </w:t>
      </w:r>
      <w:r w:rsidR="00536C21" w:rsidRPr="00536C21">
        <w:rPr>
          <w:rStyle w:val="Betont"/>
          <w:rFonts w:eastAsia="Times New Roman" w:cs="Times New Roman"/>
          <w:b w:val="0"/>
        </w:rPr>
        <w:t>Maciej Szpunar, Generalanwalt beim Europäischen Gerichtshof</w:t>
      </w:r>
      <w:r w:rsidR="00536C21">
        <w:rPr>
          <w:rStyle w:val="Betont"/>
          <w:rFonts w:eastAsia="Times New Roman" w:cs="Times New Roman"/>
        </w:rPr>
        <w:t xml:space="preserve">) </w:t>
      </w:r>
      <w:r w:rsidR="00DD7FB9" w:rsidRPr="00620178">
        <w:rPr>
          <w:rStyle w:val="Betont"/>
          <w:rFonts w:eastAsia="Times New Roman" w:cs="Times New Roman"/>
          <w:b w:val="0"/>
        </w:rPr>
        <w:t>entschieden, dass Bibliotheken</w:t>
      </w:r>
      <w:r w:rsidR="00700E93">
        <w:rPr>
          <w:rStyle w:val="Betont"/>
          <w:rFonts w:eastAsia="Times New Roman" w:cs="Times New Roman"/>
          <w:b w:val="0"/>
        </w:rPr>
        <w:t xml:space="preserve"> </w:t>
      </w:r>
      <w:r w:rsidR="00620178">
        <w:rPr>
          <w:rStyle w:val="Betont"/>
          <w:rFonts w:eastAsia="Times New Roman" w:cs="Times New Roman"/>
          <w:b w:val="0"/>
        </w:rPr>
        <w:t xml:space="preserve">das Ausleihen von </w:t>
      </w:r>
      <w:r w:rsidR="00DD7FB9" w:rsidRPr="00620178">
        <w:rPr>
          <w:rStyle w:val="Betont"/>
          <w:rFonts w:eastAsia="Times New Roman" w:cs="Times New Roman"/>
          <w:b w:val="0"/>
        </w:rPr>
        <w:t>E-Books nicht streitig gemacht werden kann.</w:t>
      </w:r>
      <w:r w:rsidR="00963A86">
        <w:rPr>
          <w:rStyle w:val="Funotenzeichen"/>
          <w:rFonts w:eastAsia="Times New Roman" w:cs="Times New Roman"/>
          <w:bCs/>
        </w:rPr>
        <w:footnoteReference w:id="22"/>
      </w:r>
      <w:r w:rsidR="00DD7FB9" w:rsidRPr="00620178">
        <w:rPr>
          <w:rStyle w:val="Betont"/>
          <w:rFonts w:eastAsia="Times New Roman" w:cs="Times New Roman"/>
          <w:b w:val="0"/>
        </w:rPr>
        <w:t xml:space="preserve"> </w:t>
      </w:r>
      <w:r w:rsidR="002D3E7B">
        <w:rPr>
          <w:rStyle w:val="Betont"/>
          <w:rFonts w:eastAsia="Times New Roman" w:cs="Times New Roman"/>
          <w:b w:val="0"/>
        </w:rPr>
        <w:t>Dies ist auch für wissenschaftliche Bibliotheken wichtig, aber vor allem für öffentliche Bibliotheken unverzichtbar, wenn sie ihren öffentlichen Auftrag wahrnehmen wollen, ihre Kunden weiter mit aktuellen, oft nur noch in elektronischer Version vorliegenden Texte zu versorgen.</w:t>
      </w:r>
    </w:p>
    <w:p w14:paraId="7DE8F614" w14:textId="68099C33" w:rsidR="00DD7FB9" w:rsidRDefault="00DD7FB9" w:rsidP="00620178">
      <w:pPr>
        <w:rPr>
          <w:rStyle w:val="Betont"/>
          <w:rFonts w:eastAsia="Times New Roman" w:cs="Times New Roman"/>
          <w:b w:val="0"/>
        </w:rPr>
      </w:pPr>
      <w:r w:rsidRPr="00620178">
        <w:rPr>
          <w:rStyle w:val="Betont"/>
          <w:rFonts w:eastAsia="Times New Roman" w:cs="Times New Roman"/>
          <w:b w:val="0"/>
        </w:rPr>
        <w:t xml:space="preserve">Die EU-Kommission sollte sich diese Rechtsprechung jetzt zu eigen machen und </w:t>
      </w:r>
      <w:r w:rsidR="00536C21">
        <w:rPr>
          <w:rStyle w:val="Betont"/>
          <w:rFonts w:eastAsia="Times New Roman" w:cs="Times New Roman"/>
          <w:b w:val="0"/>
        </w:rPr>
        <w:t xml:space="preserve">in ihrer Regelung </w:t>
      </w:r>
      <w:r w:rsidRPr="00620178">
        <w:rPr>
          <w:rStyle w:val="Betont"/>
          <w:rFonts w:eastAsia="Times New Roman" w:cs="Times New Roman"/>
          <w:b w:val="0"/>
        </w:rPr>
        <w:t xml:space="preserve">darauf achten, dass die </w:t>
      </w:r>
      <w:r w:rsidR="00311F60">
        <w:rPr>
          <w:rStyle w:val="Betont"/>
          <w:rFonts w:eastAsia="Times New Roman" w:cs="Times New Roman"/>
          <w:b w:val="0"/>
        </w:rPr>
        <w:t xml:space="preserve">häugig noch </w:t>
      </w:r>
      <w:r w:rsidRPr="00620178">
        <w:rPr>
          <w:rStyle w:val="Betont"/>
          <w:rFonts w:eastAsia="Times New Roman" w:cs="Times New Roman"/>
          <w:b w:val="0"/>
        </w:rPr>
        <w:t xml:space="preserve">DRM-gesteuerten Lizenz-Nutzungsbedingungen und die Vergütungsbestimmungen nicht zu restriktiv </w:t>
      </w:r>
      <w:r w:rsidR="00620178">
        <w:rPr>
          <w:rStyle w:val="Betont"/>
          <w:rFonts w:eastAsia="Times New Roman" w:cs="Times New Roman"/>
          <w:b w:val="0"/>
        </w:rPr>
        <w:t>ausfallen.</w:t>
      </w:r>
      <w:r w:rsidR="00536C21">
        <w:rPr>
          <w:rStyle w:val="Betont"/>
          <w:rFonts w:eastAsia="Times New Roman" w:cs="Times New Roman"/>
          <w:b w:val="0"/>
        </w:rPr>
        <w:t xml:space="preserve"> So </w:t>
      </w:r>
      <w:r w:rsidR="00311F60">
        <w:rPr>
          <w:rStyle w:val="Betont"/>
          <w:rFonts w:eastAsia="Times New Roman" w:cs="Times New Roman"/>
          <w:b w:val="0"/>
        </w:rPr>
        <w:t>wäre</w:t>
      </w:r>
      <w:r w:rsidR="00536C21">
        <w:rPr>
          <w:rStyle w:val="Betont"/>
          <w:rFonts w:eastAsia="Times New Roman" w:cs="Times New Roman"/>
          <w:b w:val="0"/>
        </w:rPr>
        <w:t xml:space="preserve"> es nicht mehr zeitgemäß</w:t>
      </w:r>
      <w:r w:rsidR="004A4DB7">
        <w:rPr>
          <w:rStyle w:val="Betont"/>
          <w:rFonts w:eastAsia="Times New Roman" w:cs="Times New Roman"/>
          <w:b w:val="0"/>
        </w:rPr>
        <w:t xml:space="preserve">, auf das E-Lending </w:t>
      </w:r>
      <w:r w:rsidR="00536C21">
        <w:rPr>
          <w:rStyle w:val="Betont"/>
          <w:rFonts w:eastAsia="Times New Roman" w:cs="Times New Roman"/>
          <w:b w:val="0"/>
        </w:rPr>
        <w:t>das Prinzip der Bestandsakzessorietät</w:t>
      </w:r>
      <w:r w:rsidR="00536C21">
        <w:rPr>
          <w:rStyle w:val="Funotenzeichen"/>
          <w:rFonts w:eastAsia="Times New Roman" w:cs="Times New Roman"/>
          <w:bCs/>
        </w:rPr>
        <w:footnoteReference w:id="23"/>
      </w:r>
      <w:r w:rsidR="00536C21">
        <w:rPr>
          <w:rStyle w:val="Betont"/>
          <w:rFonts w:eastAsia="Times New Roman" w:cs="Times New Roman"/>
          <w:b w:val="0"/>
        </w:rPr>
        <w:t>.</w:t>
      </w:r>
      <w:r w:rsidR="00700E93">
        <w:rPr>
          <w:rStyle w:val="Betont"/>
          <w:rFonts w:eastAsia="Times New Roman" w:cs="Times New Roman"/>
          <w:b w:val="0"/>
        </w:rPr>
        <w:t xml:space="preserve"> </w:t>
      </w:r>
      <w:r w:rsidR="00536C21">
        <w:rPr>
          <w:rStyle w:val="Betont"/>
          <w:rFonts w:eastAsia="Times New Roman" w:cs="Times New Roman"/>
          <w:b w:val="0"/>
        </w:rPr>
        <w:t xml:space="preserve">Ebenso sollte es nicht den Bibliotheken aufgebürdet werden, für die DRM-Software zur Kontrolle der elektronischen Nutzung selber zuständig zu sein – z.B. </w:t>
      </w:r>
      <w:r w:rsidR="002D3E7B">
        <w:rPr>
          <w:rStyle w:val="Betont"/>
          <w:rFonts w:eastAsia="Times New Roman" w:cs="Times New Roman"/>
          <w:b w:val="0"/>
        </w:rPr>
        <w:t>für das automatische</w:t>
      </w:r>
      <w:r w:rsidR="00536C21">
        <w:rPr>
          <w:rStyle w:val="Betont"/>
          <w:rFonts w:eastAsia="Times New Roman" w:cs="Times New Roman"/>
          <w:b w:val="0"/>
        </w:rPr>
        <w:t xml:space="preserve"> Löschen einer Datei beim Nutzer, wenn die Ausleihzeit abgelaufen ist.</w:t>
      </w:r>
    </w:p>
    <w:p w14:paraId="342402CC" w14:textId="77D457EF" w:rsidR="00536C21" w:rsidRPr="008C57D2" w:rsidRDefault="00832993" w:rsidP="00832B94">
      <w:r>
        <w:t xml:space="preserve">Das Recht auf den Versand von digitalen Kopien an externe Nutzer bleibt </w:t>
      </w:r>
      <w:r w:rsidR="00536C21">
        <w:t xml:space="preserve">in dem Vorschlag der EU-Kommission </w:t>
      </w:r>
      <w:r>
        <w:t xml:space="preserve">unbefriedigend ungeklärt. Es ist </w:t>
      </w:r>
      <w:r w:rsidR="004D4AD5">
        <w:t>i</w:t>
      </w:r>
      <w:r w:rsidR="00B601FA">
        <w:t>rritierend</w:t>
      </w:r>
      <w:r w:rsidR="000839FF">
        <w:t>, dass</w:t>
      </w:r>
      <w:r>
        <w:t xml:space="preserve"> nun</w:t>
      </w:r>
      <w:r w:rsidR="000839FF">
        <w:t>, entsprechend des</w:t>
      </w:r>
      <w:r w:rsidR="004D4AD5">
        <w:t xml:space="preserve"> </w:t>
      </w:r>
      <w:r w:rsidR="00597E96">
        <w:t>noch</w:t>
      </w:r>
      <w:r w:rsidR="004D4AD5">
        <w:t xml:space="preserve"> </w:t>
      </w:r>
      <w:r w:rsidR="006B3F51">
        <w:t>für gültig gehaltenen</w:t>
      </w:r>
      <w:r w:rsidR="004D4AD5">
        <w:t xml:space="preserve"> </w:t>
      </w:r>
      <w:r w:rsidR="00C26701">
        <w:t>Erwägungsgrund</w:t>
      </w:r>
      <w:r w:rsidR="000839FF">
        <w:t>s</w:t>
      </w:r>
      <w:r w:rsidR="004D4AD5">
        <w:t xml:space="preserve"> 40 aus </w:t>
      </w:r>
      <w:r w:rsidR="00C26701">
        <w:t>Richtlini</w:t>
      </w:r>
      <w:r w:rsidR="004D4AD5" w:rsidRPr="00F92089">
        <w:t xml:space="preserve">e 2001/29/EC </w:t>
      </w:r>
      <w:r w:rsidR="004D4AD5">
        <w:rPr>
          <w:rFonts w:eastAsia="Times New Roman" w:cs="Times New Roman"/>
        </w:rPr>
        <w:t xml:space="preserve">RN 40, weiter </w:t>
      </w:r>
      <w:r>
        <w:rPr>
          <w:rFonts w:eastAsia="Times New Roman" w:cs="Times New Roman"/>
        </w:rPr>
        <w:t>gilt</w:t>
      </w:r>
      <w:r w:rsidR="004D4AD5">
        <w:rPr>
          <w:rFonts w:eastAsia="Times New Roman" w:cs="Times New Roman"/>
        </w:rPr>
        <w:t xml:space="preserve">: </w:t>
      </w:r>
      <w:r w:rsidR="004D4AD5" w:rsidRPr="00D76AC7">
        <w:rPr>
          <w:rFonts w:eastAsia="Times New Roman" w:cs="Times New Roman"/>
        </w:rPr>
        <w:t>„Eine Nutzung im Zusammenhang mit der Online-Lieferung von geschützten Werken oder sonstigen Schutzgegenständen sollte nicht unter diese Ausnahme fallen.“</w:t>
      </w:r>
      <w:r w:rsidR="004D4AD5">
        <w:rPr>
          <w:rFonts w:eastAsia="Times New Roman" w:cs="Times New Roman"/>
        </w:rPr>
        <w:t xml:space="preserve"> </w:t>
      </w:r>
    </w:p>
    <w:p w14:paraId="17039EBE" w14:textId="5BABD2B5" w:rsidR="008C57D2" w:rsidRDefault="00DD7FB9" w:rsidP="00832B94">
      <w:pPr>
        <w:rPr>
          <w:rFonts w:eastAsia="Times New Roman" w:cs="Times New Roman"/>
        </w:rPr>
      </w:pPr>
      <w:r>
        <w:rPr>
          <w:rFonts w:eastAsia="Times New Roman" w:cs="Times New Roman"/>
        </w:rPr>
        <w:t>Sofern Regelungen zum Kopienversand in den Regelungen der Mitgliedsstaaten bislang entsprechend InfoSoc 2001 umgesetzt sind, sind diese kaum noch zeitgemäß (z.B.</w:t>
      </w:r>
      <w:r w:rsidR="00620178">
        <w:rPr>
          <w:rFonts w:eastAsia="Times New Roman" w:cs="Times New Roman"/>
        </w:rPr>
        <w:t xml:space="preserve"> Besc</w:t>
      </w:r>
      <w:r>
        <w:rPr>
          <w:rFonts w:eastAsia="Times New Roman" w:cs="Times New Roman"/>
        </w:rPr>
        <w:t>hränkung auf Fax oder grafische, nicht durchsuchbare Dateien). Hier sollte die EU-Kommission ein deutliches Zeichen mit nutzerfreundlichen, den elektronischen Umgebungen angemessenen Regelungen setzen.</w:t>
      </w:r>
      <w:r w:rsidR="008C57D2">
        <w:rPr>
          <w:rFonts w:eastAsia="Times New Roman" w:cs="Times New Roman"/>
        </w:rPr>
        <w:t xml:space="preserve"> Der dbv weist zudem darauf hin</w:t>
      </w:r>
      <w:r w:rsidR="009838A4">
        <w:rPr>
          <w:rFonts w:eastAsia="Times New Roman" w:cs="Times New Roman"/>
        </w:rPr>
        <w:t xml:space="preserve"> (vgl. FN </w:t>
      </w:r>
      <w:r w:rsidR="009838A4">
        <w:rPr>
          <w:rFonts w:eastAsia="Times New Roman" w:cs="Times New Roman"/>
        </w:rPr>
        <w:fldChar w:fldCharType="begin"/>
      </w:r>
      <w:r w:rsidR="009838A4">
        <w:rPr>
          <w:rFonts w:eastAsia="Times New Roman" w:cs="Times New Roman"/>
        </w:rPr>
        <w:instrText xml:space="preserve"> NOTEREF _Ref349407510 \h </w:instrText>
      </w:r>
      <w:r w:rsidR="009838A4">
        <w:rPr>
          <w:rFonts w:eastAsia="Times New Roman" w:cs="Times New Roman"/>
        </w:rPr>
      </w:r>
      <w:r w:rsidR="009838A4">
        <w:rPr>
          <w:rFonts w:eastAsia="Times New Roman" w:cs="Times New Roman"/>
        </w:rPr>
        <w:fldChar w:fldCharType="separate"/>
      </w:r>
      <w:r w:rsidR="002B006B">
        <w:rPr>
          <w:rFonts w:eastAsia="Times New Roman" w:cs="Times New Roman"/>
        </w:rPr>
        <w:t>21</w:t>
      </w:r>
      <w:r w:rsidR="009838A4">
        <w:rPr>
          <w:rFonts w:eastAsia="Times New Roman" w:cs="Times New Roman"/>
        </w:rPr>
        <w:fldChar w:fldCharType="end"/>
      </w:r>
      <w:r w:rsidR="009838A4">
        <w:rPr>
          <w:rFonts w:eastAsia="Times New Roman" w:cs="Times New Roman"/>
        </w:rPr>
        <w:t>)</w:t>
      </w:r>
      <w:r w:rsidR="008C57D2">
        <w:rPr>
          <w:rFonts w:eastAsia="Times New Roman" w:cs="Times New Roman"/>
        </w:rPr>
        <w:t xml:space="preserve">, dass </w:t>
      </w:r>
      <w:r w:rsidR="009838A4">
        <w:rPr>
          <w:rFonts w:eastAsia="Times New Roman" w:cs="Times New Roman"/>
        </w:rPr>
        <w:t xml:space="preserve">eine </w:t>
      </w:r>
      <w:r w:rsidR="008C57D2">
        <w:rPr>
          <w:rFonts w:eastAsia="Times New Roman" w:cs="Times New Roman"/>
        </w:rPr>
        <w:t>EU-weite Harmonisierung auch des grenzüberschreitende</w:t>
      </w:r>
      <w:r w:rsidR="009838A4">
        <w:rPr>
          <w:rFonts w:eastAsia="Times New Roman" w:cs="Times New Roman"/>
        </w:rPr>
        <w:t>n</w:t>
      </w:r>
      <w:r w:rsidR="008C57D2">
        <w:rPr>
          <w:rFonts w:eastAsia="Times New Roman" w:cs="Times New Roman"/>
        </w:rPr>
        <w:t xml:space="preserve"> Kopienversands dringend erforderlich ist. Die Rechtslage ist in den verschiedenen Ländern so unübersichtlich, dass entsprechenden Anfragen zum elektronischen Kopienversand </w:t>
      </w:r>
      <w:r w:rsidR="009838A4">
        <w:rPr>
          <w:rFonts w:eastAsia="Times New Roman" w:cs="Times New Roman"/>
        </w:rPr>
        <w:t xml:space="preserve">häufig </w:t>
      </w:r>
      <w:r w:rsidR="008C57D2">
        <w:rPr>
          <w:rFonts w:eastAsia="Times New Roman" w:cs="Times New Roman"/>
        </w:rPr>
        <w:t>nicht entsprochen werden kann. Sollte die Voll-Harmonisierung noch nicht möglich sein,</w:t>
      </w:r>
      <w:r w:rsidR="008C57D2" w:rsidRPr="009838A4">
        <w:rPr>
          <w:rFonts w:eastAsia="Times New Roman" w:cs="Times New Roman"/>
        </w:rPr>
        <w:t xml:space="preserve"> </w:t>
      </w:r>
      <w:r w:rsidR="009838A4">
        <w:rPr>
          <w:rFonts w:eastAsia="Times New Roman" w:cs="Times New Roman"/>
        </w:rPr>
        <w:t>„</w:t>
      </w:r>
      <w:r w:rsidR="008C57D2" w:rsidRPr="009838A4">
        <w:rPr>
          <w:rFonts w:eastAsia="Times New Roman" w:cs="Times New Roman"/>
        </w:rPr>
        <w:t>wäre den Bibliotheks-NutzerInnen mit einer Teilharmonisierung i.V. mit einer gegenseitigen Anerkennung der einschlägigen Normen – nach dem Vorbild der Regelung in Art. 4 Abs.3 RLE geholfen. Dadurch würde der grenzüberschreitende Kopienversand rechtssicherer werden.</w:t>
      </w:r>
      <w:r w:rsidR="009838A4">
        <w:rPr>
          <w:rFonts w:eastAsia="Times New Roman" w:cs="Times New Roman"/>
        </w:rPr>
        <w:t>“</w:t>
      </w:r>
    </w:p>
    <w:p w14:paraId="3092BF64" w14:textId="77777777" w:rsidR="00C51891" w:rsidRDefault="00C51891" w:rsidP="009125F7">
      <w:pPr>
        <w:pStyle w:val="berschrift2"/>
      </w:pPr>
      <w:bookmarkStart w:id="13" w:name="transaktionskosten"/>
      <w:bookmarkEnd w:id="13"/>
      <w:r>
        <w:lastRenderedPageBreak/>
        <w:t xml:space="preserve">Senkung von Transaktionskosten </w:t>
      </w:r>
      <w:r w:rsidR="001516B6">
        <w:t>wird nur angekündigt</w:t>
      </w:r>
    </w:p>
    <w:p w14:paraId="6B31DFA5" w14:textId="0446A474" w:rsidR="00536C21" w:rsidRDefault="00832993" w:rsidP="00C63EA4">
      <w:r>
        <w:t>Die Absicht der Kommission</w:t>
      </w:r>
      <w:r w:rsidR="009727C3">
        <w:t>, a</w:t>
      </w:r>
      <w:r w:rsidR="00597E96">
        <w:t>uch für Forschungseinrichtungen</w:t>
      </w:r>
      <w:r w:rsidR="009727C3">
        <w:t xml:space="preserve"> eine Reduktion der Transaktionskosten anzustreben</w:t>
      </w:r>
      <w:r>
        <w:t>, ist zu begrüßen</w:t>
      </w:r>
      <w:r w:rsidR="009727C3">
        <w:t xml:space="preserve">. Wie das erreicht werden soll, bleibt allerdings offen, zumal – als offensichtlicher Erfolg des entsprechenden Lobbying – </w:t>
      </w:r>
      <w:r w:rsidR="005C6FF4">
        <w:t xml:space="preserve">die Auswirkungen der Reduktion nicht zu Lasten der KMU in der Publikationswirtschaft gehen dürfen. </w:t>
      </w:r>
    </w:p>
    <w:p w14:paraId="1FD8056C" w14:textId="77777777" w:rsidR="002D3E7B" w:rsidRDefault="002D3E7B" w:rsidP="00C63EA4">
      <w:r>
        <w:t>Weiter</w:t>
      </w:r>
      <w:r w:rsidR="005C6FF4">
        <w:t xml:space="preserve"> soll die Senkung der Kosten nicht durch Erweiterung offener/freier Nutzungsformen über rechtliche Schrankenregelungen erreicht werden,</w:t>
      </w:r>
      <w:r w:rsidR="00B26AC7">
        <w:t xml:space="preserve"> </w:t>
      </w:r>
      <w:r w:rsidR="005C6FF4">
        <w:t>sondern durch Lizenzierungspraktiken (Abschnitt „Regulato</w:t>
      </w:r>
      <w:r w:rsidR="00597E96">
        <w:t>r</w:t>
      </w:r>
      <w:r w:rsidR="005C6FF4">
        <w:t>y fitness and simplification“</w:t>
      </w:r>
      <w:r w:rsidR="00536C21">
        <w:t>)</w:t>
      </w:r>
      <w:bookmarkStart w:id="14" w:name="abws"/>
      <w:bookmarkEnd w:id="14"/>
      <w:r w:rsidR="00536C21">
        <w:t>.</w:t>
      </w:r>
    </w:p>
    <w:p w14:paraId="76CC8FC9" w14:textId="20B50017" w:rsidR="002D3E7B" w:rsidRDefault="002D3E7B" w:rsidP="002D3E7B">
      <w:r>
        <w:t xml:space="preserve">Auch hier setzt die EU-Kommission keine Priorität zugunsten der offenen freizügigen Nutzung gegenüber der Sicherung von Verlagsinteressen und von elektronischen Umgebungen nicht mehr zeitgemäßen Geschäftsmodellen. </w:t>
      </w:r>
    </w:p>
    <w:p w14:paraId="17EB0E32" w14:textId="652E5C2C" w:rsidR="00536C21" w:rsidRDefault="00536C21" w:rsidP="00C63EA4">
      <w:r>
        <w:t>Die Reduktion von Transaktionskosten könnte in erster Linie durch die Einführung einer Allgemeinen Bildungs- und Wissenschaftsschranke erzielt werden (vgl. Abschnitt</w:t>
      </w:r>
      <w:r w:rsidR="00700E93">
        <w:t xml:space="preserve"> </w:t>
      </w:r>
      <w:r>
        <w:t>2.4), aber auch durch eine Neuregelung der Vergütung im Wissenschaftsurheber</w:t>
      </w:r>
      <w:r w:rsidR="002D3E7B">
        <w:t>recht</w:t>
      </w:r>
      <w:r>
        <w:t xml:space="preserve"> (Näheres dazu in Abschnitt</w:t>
      </w:r>
      <w:r w:rsidR="00700E93">
        <w:t xml:space="preserve"> </w:t>
      </w:r>
      <w:r w:rsidR="006A123C">
        <w:fldChar w:fldCharType="begin"/>
      </w:r>
      <w:r w:rsidR="006A123C">
        <w:instrText xml:space="preserve"> REF _Ref349408320 \r \h </w:instrText>
      </w:r>
      <w:r w:rsidR="006A123C">
        <w:fldChar w:fldCharType="separate"/>
      </w:r>
      <w:r w:rsidR="002B006B">
        <w:t>2.6</w:t>
      </w:r>
      <w:r w:rsidR="006A123C">
        <w:fldChar w:fldCharType="end"/>
      </w:r>
      <w:r>
        <w:t>)</w:t>
      </w:r>
      <w:r w:rsidR="002D3E7B">
        <w:t>.</w:t>
      </w:r>
    </w:p>
    <w:p w14:paraId="0FE1874C" w14:textId="2402572C" w:rsidR="00C51891" w:rsidRDefault="00C51891" w:rsidP="009125F7">
      <w:pPr>
        <w:pStyle w:val="berschrift2"/>
      </w:pPr>
      <w:bookmarkStart w:id="15" w:name="CCER"/>
      <w:bookmarkStart w:id="16" w:name="_Ref349146133"/>
      <w:bookmarkEnd w:id="15"/>
      <w:r>
        <w:t>Allgemeine Bildungs- und Wissenschafts</w:t>
      </w:r>
      <w:r w:rsidR="001B4A89">
        <w:t>s</w:t>
      </w:r>
      <w:r>
        <w:t>chranke</w:t>
      </w:r>
      <w:r w:rsidR="002D3E7B">
        <w:t xml:space="preserve"> (Comprehensive Clause for Education and Research - CCER)</w:t>
      </w:r>
      <w:bookmarkEnd w:id="16"/>
    </w:p>
    <w:p w14:paraId="5A103351" w14:textId="70218AF7" w:rsidR="00832993" w:rsidRDefault="00832993" w:rsidP="009727C3">
      <w:r>
        <w:t>Obgleich in der Diskussion um ein wissenschaftsfreundliches Urheberrecht</w:t>
      </w:r>
      <w:bookmarkStart w:id="17" w:name="_Ref347159975"/>
      <w:r w:rsidR="00405A2E">
        <w:rPr>
          <w:rStyle w:val="Funotenzeichen"/>
        </w:rPr>
        <w:footnoteReference w:id="24"/>
      </w:r>
      <w:bookmarkEnd w:id="17"/>
      <w:r>
        <w:t xml:space="preserve"> seit Jahren immer wieder betont wird, dass die Unzulänglichkeiten bei </w:t>
      </w:r>
      <w:r w:rsidR="007243BC">
        <w:t>den</w:t>
      </w:r>
      <w:r>
        <w:t xml:space="preserve"> auf Bildung und Wissenschaft bezogenen Schranken nic</w:t>
      </w:r>
      <w:r w:rsidR="00486CDA">
        <w:t xml:space="preserve">ht durch kleinere Änderungen beseitigt werden können, bleibt in dem Vorschlag der Kommission die </w:t>
      </w:r>
      <w:r w:rsidR="00465F0D">
        <w:t>Realisierung</w:t>
      </w:r>
      <w:r w:rsidR="00486CDA">
        <w:t xml:space="preserve"> einer umfassenden Allgemeinen Bildungs- und Wissensch</w:t>
      </w:r>
      <w:r w:rsidR="001B4A89">
        <w:t>aftssch</w:t>
      </w:r>
      <w:r w:rsidR="00486CDA">
        <w:t xml:space="preserve">ranke (ABWS) ausgeklammert. </w:t>
      </w:r>
      <w:r w:rsidR="009F4CA6">
        <w:t>Es ist nicht annehmbar, dass die EU-Kommission den Urheberrechtsproblemen für Wissenschaft (bis auf die neue TDM-Regelung) keine weitere Aufmerksamkeit geschenkt hat.</w:t>
      </w:r>
    </w:p>
    <w:p w14:paraId="6556B0FF" w14:textId="67FD58C5" w:rsidR="00EB2D2C" w:rsidRPr="009F4CA6" w:rsidRDefault="009F4CA6" w:rsidP="009F4CA6">
      <w:r>
        <w:t xml:space="preserve">Hilfreich wäre es zumindest, wenn die bislang nur optionale Regelung </w:t>
      </w:r>
      <w:r w:rsidR="00486CDA">
        <w:t xml:space="preserve"> für wissenschaftliche Forschung </w:t>
      </w:r>
      <w:r>
        <w:t>aus</w:t>
      </w:r>
      <w:r w:rsidR="00486CDA">
        <w:t xml:space="preserve"> Richtlinie 2001/29/EC, Art. 5, 3, a</w:t>
      </w:r>
      <w:r>
        <w:t xml:space="preserve"> nun rückwirkend für die Mitgliedsländer verpflichtend gemacht würde: </w:t>
      </w:r>
      <w:r w:rsidRPr="002B0042">
        <w:rPr>
          <w:rFonts w:eastAsia="Times New Roman" w:cs="Times New Roman"/>
        </w:rPr>
        <w:t xml:space="preserve">„use for the sole purpose of illustration for teaching or scientific research, ... to the extent justified by the non-commercial purpose </w:t>
      </w:r>
      <w:r>
        <w:rPr>
          <w:rFonts w:eastAsia="Times New Roman" w:cs="Times New Roman"/>
        </w:rPr>
        <w:t>...</w:t>
      </w:r>
      <w:r w:rsidRPr="002B0042">
        <w:rPr>
          <w:rFonts w:eastAsia="Times New Roman" w:cs="Times New Roman"/>
        </w:rPr>
        <w:t xml:space="preserve">“. </w:t>
      </w:r>
      <w:r>
        <w:rPr>
          <w:rFonts w:eastAsia="Times New Roman" w:cs="Times New Roman"/>
        </w:rPr>
        <w:t xml:space="preserve"> Diese Formulierung sollte es in seiner</w:t>
      </w:r>
      <w:r w:rsidR="00C55008" w:rsidRPr="002B0042">
        <w:t xml:space="preserve"> Allgemeinheit </w:t>
      </w:r>
      <w:r>
        <w:t xml:space="preserve">erlauben, </w:t>
      </w:r>
      <w:r w:rsidR="00C55008" w:rsidRPr="002B0042">
        <w:t xml:space="preserve">aus ihr direkt eine ABWS </w:t>
      </w:r>
      <w:r w:rsidR="00FD14E4">
        <w:t xml:space="preserve">auf der jeweiligen nationalen Ebene </w:t>
      </w:r>
      <w:r>
        <w:t>abzuleiten.</w:t>
      </w:r>
      <w:r w:rsidR="00DE42D3" w:rsidRPr="002B0042">
        <w:t xml:space="preserve"> </w:t>
      </w:r>
    </w:p>
    <w:p w14:paraId="49D124AA" w14:textId="7C038631" w:rsidR="00DE42D3" w:rsidRPr="004F664B" w:rsidRDefault="00FD14E4" w:rsidP="00DE42D3">
      <w:pPr>
        <w:rPr>
          <w:rFonts w:eastAsia="Times New Roman" w:cs="Times New Roman"/>
          <w:lang w:val="en-US"/>
        </w:rPr>
      </w:pPr>
      <w:r>
        <w:rPr>
          <w:rFonts w:eastAsia="Times New Roman" w:cs="Times New Roman"/>
          <w:lang w:val="en-US"/>
        </w:rPr>
        <w:t>Allerdings sind</w:t>
      </w:r>
      <w:r w:rsidR="002D3E7B">
        <w:rPr>
          <w:rFonts w:eastAsia="Times New Roman" w:cs="Times New Roman"/>
          <w:lang w:val="en-US"/>
        </w:rPr>
        <w:t xml:space="preserve"> die bisherigen Umsetzungen dieses Schrankenvorschlags von 2001</w:t>
      </w:r>
      <w:r w:rsidR="00700E93">
        <w:rPr>
          <w:rFonts w:eastAsia="Times New Roman" w:cs="Times New Roman"/>
          <w:lang w:val="en-US"/>
        </w:rPr>
        <w:t xml:space="preserve"> </w:t>
      </w:r>
      <w:r w:rsidR="00E54E01">
        <w:rPr>
          <w:rFonts w:eastAsia="Times New Roman" w:cs="Times New Roman"/>
          <w:lang w:val="en-US"/>
        </w:rPr>
        <w:t>sehr</w:t>
      </w:r>
      <w:r>
        <w:rPr>
          <w:rFonts w:eastAsia="Times New Roman" w:cs="Times New Roman"/>
          <w:lang w:val="en-US"/>
        </w:rPr>
        <w:t xml:space="preserve"> restriktiv ausgefallen sind – in Deutschland in § 52a, aber </w:t>
      </w:r>
      <w:r w:rsidR="009F4CA6">
        <w:rPr>
          <w:rFonts w:eastAsia="Times New Roman" w:cs="Times New Roman"/>
          <w:lang w:val="en-US"/>
        </w:rPr>
        <w:t>auch in</w:t>
      </w:r>
      <w:r w:rsidR="004A4DB7">
        <w:rPr>
          <w:rFonts w:eastAsia="Times New Roman" w:cs="Times New Roman"/>
          <w:lang w:val="en-US"/>
        </w:rPr>
        <w:t xml:space="preserve"> </w:t>
      </w:r>
      <w:r>
        <w:rPr>
          <w:rFonts w:eastAsia="Times New Roman" w:cs="Times New Roman"/>
          <w:lang w:val="en-US"/>
        </w:rPr>
        <w:t xml:space="preserve">§ </w:t>
      </w:r>
      <w:r w:rsidR="004A4DB7">
        <w:rPr>
          <w:rFonts w:eastAsia="Times New Roman" w:cs="Times New Roman"/>
          <w:lang w:val="en-US"/>
        </w:rPr>
        <w:t xml:space="preserve">52b und </w:t>
      </w:r>
      <w:r>
        <w:rPr>
          <w:rFonts w:eastAsia="Times New Roman" w:cs="Times New Roman"/>
          <w:lang w:val="en-US"/>
        </w:rPr>
        <w:t xml:space="preserve">§ </w:t>
      </w:r>
      <w:r w:rsidR="004A4DB7">
        <w:rPr>
          <w:rFonts w:eastAsia="Times New Roman" w:cs="Times New Roman"/>
          <w:lang w:val="en-US"/>
        </w:rPr>
        <w:t>53a</w:t>
      </w:r>
      <w:r w:rsidR="002D3E7B">
        <w:rPr>
          <w:rFonts w:eastAsia="Times New Roman" w:cs="Times New Roman"/>
          <w:lang w:val="en-US"/>
        </w:rPr>
        <w:t xml:space="preserve"> des </w:t>
      </w:r>
      <w:r>
        <w:rPr>
          <w:rFonts w:eastAsia="Times New Roman" w:cs="Times New Roman"/>
          <w:lang w:val="en-US"/>
        </w:rPr>
        <w:lastRenderedPageBreak/>
        <w:t>deutschen Urheberrechtsgesetzes</w:t>
      </w:r>
      <w:r w:rsidR="00E54E01">
        <w:rPr>
          <w:rFonts w:eastAsia="Times New Roman" w:cs="Times New Roman"/>
          <w:lang w:val="en-US"/>
        </w:rPr>
        <w:t>. Das</w:t>
      </w:r>
      <w:r w:rsidR="002D3E7B">
        <w:rPr>
          <w:rFonts w:eastAsia="Times New Roman" w:cs="Times New Roman"/>
          <w:lang w:val="en-US"/>
        </w:rPr>
        <w:t xml:space="preserve"> liegt vor allem an der Orientierung </w:t>
      </w:r>
      <w:r w:rsidR="009F4CA6">
        <w:rPr>
          <w:rFonts w:eastAsia="Times New Roman" w:cs="Times New Roman"/>
          <w:lang w:val="en-US"/>
        </w:rPr>
        <w:t>an dem</w:t>
      </w:r>
      <w:r w:rsidR="002D3E7B">
        <w:rPr>
          <w:rFonts w:eastAsia="Times New Roman" w:cs="Times New Roman"/>
          <w:lang w:val="en-US"/>
        </w:rPr>
        <w:t xml:space="preserve"> Dreistufentest, wie er in InfoSoc 2001 in Art. 5. </w:t>
      </w:r>
      <w:r w:rsidR="00DE42D3" w:rsidRPr="004F664B">
        <w:rPr>
          <w:rFonts w:eastAsia="Times New Roman" w:cs="Times New Roman"/>
          <w:lang w:val="en-US"/>
        </w:rPr>
        <w:t>5 expl</w:t>
      </w:r>
      <w:r w:rsidR="00597E96" w:rsidRPr="004F664B">
        <w:rPr>
          <w:rFonts w:eastAsia="Times New Roman" w:cs="Times New Roman"/>
          <w:lang w:val="en-US"/>
        </w:rPr>
        <w:t>i</w:t>
      </w:r>
      <w:r w:rsidR="00DE42D3" w:rsidRPr="004F664B">
        <w:rPr>
          <w:rFonts w:eastAsia="Times New Roman" w:cs="Times New Roman"/>
          <w:lang w:val="en-US"/>
        </w:rPr>
        <w:t xml:space="preserve">zit </w:t>
      </w:r>
      <w:r w:rsidR="002D3E7B">
        <w:rPr>
          <w:rFonts w:eastAsia="Times New Roman" w:cs="Times New Roman"/>
          <w:lang w:val="en-US"/>
        </w:rPr>
        <w:t>aufgegriffen und vorgegeben wurde</w:t>
      </w:r>
      <w:r w:rsidR="00DE42D3" w:rsidRPr="004F664B">
        <w:rPr>
          <w:rFonts w:eastAsia="Times New Roman" w:cs="Times New Roman"/>
          <w:lang w:val="en-US"/>
        </w:rPr>
        <w:t>: „The exceptions and limitations provided for in paragraphs 1, 2, 3 and 4 shall only be applied in certain special cases which do not conflict with a normal exploitation of the work or other subject-matter and do not unreasonably prejudice the legitimate interests of the rightholder.“</w:t>
      </w:r>
    </w:p>
    <w:p w14:paraId="6427C7DA" w14:textId="198B78C8" w:rsidR="00D205A6" w:rsidRDefault="002D3E7B" w:rsidP="00D205A6">
      <w:pPr>
        <w:rPr>
          <w:rFonts w:eastAsia="Times New Roman" w:cs="Times New Roman"/>
        </w:rPr>
      </w:pPr>
      <w:r>
        <w:rPr>
          <w:rFonts w:eastAsia="Times New Roman" w:cs="Times New Roman"/>
        </w:rPr>
        <w:t xml:space="preserve">Die aus dieser </w:t>
      </w:r>
      <w:r w:rsidR="00405A2E">
        <w:rPr>
          <w:rFonts w:eastAsia="Times New Roman" w:cs="Times New Roman"/>
        </w:rPr>
        <w:t xml:space="preserve">strikt interpretierten </w:t>
      </w:r>
      <w:r>
        <w:rPr>
          <w:rFonts w:eastAsia="Times New Roman" w:cs="Times New Roman"/>
        </w:rPr>
        <w:t xml:space="preserve">Vorgabe abgeleiteten </w:t>
      </w:r>
      <w:r w:rsidR="00EB2D2C">
        <w:rPr>
          <w:rFonts w:eastAsia="Times New Roman" w:cs="Times New Roman"/>
        </w:rPr>
        <w:t xml:space="preserve">Beschränkungen </w:t>
      </w:r>
      <w:r>
        <w:rPr>
          <w:rFonts w:eastAsia="Times New Roman" w:cs="Times New Roman"/>
        </w:rPr>
        <w:t xml:space="preserve">in den verschiedenen Schrankenbestimmungen (der Mitgliedsländer) </w:t>
      </w:r>
      <w:r w:rsidR="00EB2D2C">
        <w:rPr>
          <w:rFonts w:eastAsia="Times New Roman" w:cs="Times New Roman"/>
        </w:rPr>
        <w:t>sind dem heutigen digitalen Umfeld und der Praxis des Publizierens nicht mehr angemessen.</w:t>
      </w:r>
      <w:r w:rsidR="00E54E01">
        <w:rPr>
          <w:rStyle w:val="Funotenzeichen"/>
          <w:rFonts w:eastAsia="Times New Roman" w:cs="Times New Roman"/>
        </w:rPr>
        <w:footnoteReference w:id="25"/>
      </w:r>
      <w:r w:rsidR="009F4CA6">
        <w:rPr>
          <w:rFonts w:eastAsia="Times New Roman" w:cs="Times New Roman"/>
        </w:rPr>
        <w:t xml:space="preserve"> </w:t>
      </w:r>
      <w:r w:rsidR="00597E96">
        <w:rPr>
          <w:rFonts w:eastAsia="Times New Roman" w:cs="Times New Roman"/>
        </w:rPr>
        <w:t xml:space="preserve">Die EU-Kommission </w:t>
      </w:r>
      <w:r>
        <w:rPr>
          <w:rFonts w:eastAsia="Times New Roman" w:cs="Times New Roman"/>
        </w:rPr>
        <w:t>sollte</w:t>
      </w:r>
      <w:r w:rsidR="00EB2D2C">
        <w:rPr>
          <w:rFonts w:eastAsia="Times New Roman" w:cs="Times New Roman"/>
        </w:rPr>
        <w:t xml:space="preserve"> </w:t>
      </w:r>
      <w:r>
        <w:rPr>
          <w:rFonts w:eastAsia="Times New Roman" w:cs="Times New Roman"/>
        </w:rPr>
        <w:t xml:space="preserve">sich nicht länger an einer rigiden Interpretation des Dreistufentests orientieren. Vor allem im Bereich von Wissenschaft (aber in absehbarer Zukunft auch </w:t>
      </w:r>
      <w:r w:rsidR="008C57D2">
        <w:rPr>
          <w:rFonts w:eastAsia="Times New Roman" w:cs="Times New Roman"/>
        </w:rPr>
        <w:t xml:space="preserve">immer mehr </w:t>
      </w:r>
      <w:r>
        <w:rPr>
          <w:rFonts w:eastAsia="Times New Roman" w:cs="Times New Roman"/>
        </w:rPr>
        <w:t>im Bildungsbereich</w:t>
      </w:r>
      <w:r w:rsidR="009F4CA6">
        <w:rPr>
          <w:rFonts w:eastAsia="Times New Roman" w:cs="Times New Roman"/>
        </w:rPr>
        <w:t xml:space="preserve"> über </w:t>
      </w:r>
      <w:r w:rsidR="008C57D2" w:rsidRPr="00FD14E4">
        <w:rPr>
          <w:rFonts w:eastAsia="Times New Roman" w:cs="Times New Roman"/>
          <w:i/>
        </w:rPr>
        <w:t>Open Educational Resources</w:t>
      </w:r>
      <w:r w:rsidR="008C57D2">
        <w:rPr>
          <w:rFonts w:eastAsia="Times New Roman" w:cs="Times New Roman"/>
        </w:rPr>
        <w:t xml:space="preserve"> </w:t>
      </w:r>
      <w:r w:rsidR="00FD14E4">
        <w:rPr>
          <w:rFonts w:eastAsia="Times New Roman" w:cs="Times New Roman"/>
        </w:rPr>
        <w:t>(OER)</w:t>
      </w:r>
      <w:r>
        <w:rPr>
          <w:rFonts w:eastAsia="Times New Roman" w:cs="Times New Roman"/>
        </w:rPr>
        <w:t>) wird die</w:t>
      </w:r>
      <w:r w:rsidR="00597E96">
        <w:rPr>
          <w:rFonts w:eastAsia="Times New Roman" w:cs="Times New Roman"/>
        </w:rPr>
        <w:t xml:space="preserve"> </w:t>
      </w:r>
      <w:r w:rsidR="00210982">
        <w:rPr>
          <w:rFonts w:eastAsia="Times New Roman" w:cs="Times New Roman"/>
        </w:rPr>
        <w:t xml:space="preserve">offene und </w:t>
      </w:r>
      <w:r w:rsidR="00597E96">
        <w:rPr>
          <w:rFonts w:eastAsia="Times New Roman" w:cs="Times New Roman"/>
        </w:rPr>
        <w:t>freie</w:t>
      </w:r>
      <w:r w:rsidR="00210982">
        <w:rPr>
          <w:rFonts w:eastAsia="Times New Roman" w:cs="Times New Roman"/>
        </w:rPr>
        <w:t xml:space="preserve"> Nutzung publizierten Wissens </w:t>
      </w:r>
      <w:r>
        <w:rPr>
          <w:rFonts w:eastAsia="Times New Roman" w:cs="Times New Roman"/>
        </w:rPr>
        <w:t>(</w:t>
      </w:r>
      <w:r w:rsidRPr="00FD14E4">
        <w:rPr>
          <w:rFonts w:eastAsia="Times New Roman" w:cs="Times New Roman"/>
          <w:i/>
        </w:rPr>
        <w:t>Open Access</w:t>
      </w:r>
      <w:r>
        <w:rPr>
          <w:rFonts w:eastAsia="Times New Roman" w:cs="Times New Roman"/>
        </w:rPr>
        <w:t xml:space="preserve">) </w:t>
      </w:r>
      <w:r w:rsidR="00210982">
        <w:rPr>
          <w:rFonts w:eastAsia="Times New Roman" w:cs="Times New Roman"/>
        </w:rPr>
        <w:t>der allgemeine Trend</w:t>
      </w:r>
      <w:r>
        <w:rPr>
          <w:rFonts w:eastAsia="Times New Roman" w:cs="Times New Roman"/>
        </w:rPr>
        <w:t xml:space="preserve"> und in vorhersehbarer Zukunft auch d</w:t>
      </w:r>
      <w:r w:rsidR="00210982">
        <w:rPr>
          <w:rFonts w:eastAsia="Times New Roman" w:cs="Times New Roman"/>
        </w:rPr>
        <w:t>ie durchgängige Praxis des wissenschaftlichen Publizierens</w:t>
      </w:r>
      <w:r w:rsidR="004A4DB7">
        <w:rPr>
          <w:rFonts w:eastAsia="Times New Roman" w:cs="Times New Roman"/>
        </w:rPr>
        <w:t xml:space="preserve"> sein </w:t>
      </w:r>
      <w:r w:rsidR="00EB2D2C">
        <w:rPr>
          <w:rFonts w:eastAsia="Times New Roman" w:cs="Times New Roman"/>
        </w:rPr>
        <w:t xml:space="preserve">– </w:t>
      </w:r>
      <w:r w:rsidR="00210982">
        <w:rPr>
          <w:rFonts w:eastAsia="Times New Roman" w:cs="Times New Roman"/>
        </w:rPr>
        <w:t>auch in der kommerziellen Informationswir</w:t>
      </w:r>
      <w:r w:rsidR="00D54125">
        <w:rPr>
          <w:rFonts w:eastAsia="Times New Roman" w:cs="Times New Roman"/>
        </w:rPr>
        <w:t>t</w:t>
      </w:r>
      <w:r w:rsidR="00EB2D2C">
        <w:rPr>
          <w:rFonts w:eastAsia="Times New Roman" w:cs="Times New Roman"/>
        </w:rPr>
        <w:t>schaft</w:t>
      </w:r>
      <w:r w:rsidR="00210982">
        <w:rPr>
          <w:rFonts w:eastAsia="Times New Roman" w:cs="Times New Roman"/>
        </w:rPr>
        <w:t xml:space="preserve">. Dadurch </w:t>
      </w:r>
      <w:r w:rsidR="006B3F51">
        <w:rPr>
          <w:rFonts w:eastAsia="Times New Roman" w:cs="Times New Roman"/>
        </w:rPr>
        <w:t>würde</w:t>
      </w:r>
      <w:r w:rsidR="00405A2E">
        <w:rPr>
          <w:rFonts w:eastAsia="Times New Roman" w:cs="Times New Roman"/>
        </w:rPr>
        <w:t xml:space="preserve"> </w:t>
      </w:r>
      <w:r w:rsidR="00210982">
        <w:rPr>
          <w:rFonts w:eastAsia="Times New Roman" w:cs="Times New Roman"/>
        </w:rPr>
        <w:t xml:space="preserve">der Dreistufentest </w:t>
      </w:r>
      <w:r>
        <w:rPr>
          <w:rFonts w:eastAsia="Times New Roman" w:cs="Times New Roman"/>
        </w:rPr>
        <w:t xml:space="preserve">auf allen drei Ebenen </w:t>
      </w:r>
      <w:r w:rsidR="00210982">
        <w:rPr>
          <w:rFonts w:eastAsia="Times New Roman" w:cs="Times New Roman"/>
        </w:rPr>
        <w:t>eine ganz andere Bedeutung</w:t>
      </w:r>
      <w:r w:rsidR="00405A2E">
        <w:rPr>
          <w:rFonts w:eastAsia="Times New Roman" w:cs="Times New Roman"/>
        </w:rPr>
        <w:t xml:space="preserve"> bekommen</w:t>
      </w:r>
      <w:r w:rsidR="00210982">
        <w:rPr>
          <w:rFonts w:eastAsia="Times New Roman" w:cs="Times New Roman"/>
        </w:rPr>
        <w:t>: Die freie Nutzung ist die Regel – die proprietäre Nutzung die Ausnahme.</w:t>
      </w:r>
      <w:r w:rsidR="00FD14E4">
        <w:rPr>
          <w:rFonts w:eastAsia="Times New Roman" w:cs="Times New Roman"/>
        </w:rPr>
        <w:t xml:space="preserve"> </w:t>
      </w:r>
    </w:p>
    <w:p w14:paraId="185F2416" w14:textId="022C38EF" w:rsidR="002D3E7B" w:rsidRDefault="002D3E7B" w:rsidP="00D205A6">
      <w:pPr>
        <w:rPr>
          <w:rFonts w:eastAsia="Times New Roman" w:cs="Times New Roman"/>
        </w:rPr>
      </w:pPr>
      <w:r>
        <w:rPr>
          <w:rFonts w:eastAsia="Times New Roman" w:cs="Times New Roman"/>
        </w:rPr>
        <w:t xml:space="preserve">Trotz des erkennbaren Trends zugunsten </w:t>
      </w:r>
      <w:r w:rsidR="00FD14E4">
        <w:rPr>
          <w:rFonts w:eastAsia="Times New Roman" w:cs="Times New Roman"/>
        </w:rPr>
        <w:t>des</w:t>
      </w:r>
      <w:r>
        <w:rPr>
          <w:rFonts w:eastAsia="Times New Roman" w:cs="Times New Roman"/>
        </w:rPr>
        <w:t xml:space="preserve"> Open-Access-Publizierens besteht weiter der Bedarf nach urheberrechtlichen Regelungen der Nutzung publizierter Materialien</w:t>
      </w:r>
      <w:r w:rsidR="00700E93">
        <w:rPr>
          <w:rFonts w:eastAsia="Times New Roman" w:cs="Times New Roman"/>
        </w:rPr>
        <w:t xml:space="preserve"> </w:t>
      </w:r>
      <w:r>
        <w:rPr>
          <w:rFonts w:eastAsia="Times New Roman" w:cs="Times New Roman"/>
        </w:rPr>
        <w:t>– nicht zuletzt auch wegen der Nicht-Open-Access-Bestände aus der Vergangenheit</w:t>
      </w:r>
      <w:r w:rsidR="004A4DB7">
        <w:rPr>
          <w:rFonts w:eastAsia="Times New Roman" w:cs="Times New Roman"/>
        </w:rPr>
        <w:t>, aber auch durch die Praxis der Verlage, vergriffene Werke</w:t>
      </w:r>
      <w:r w:rsidR="00700E93">
        <w:rPr>
          <w:rFonts w:eastAsia="Times New Roman" w:cs="Times New Roman"/>
        </w:rPr>
        <w:t xml:space="preserve"> </w:t>
      </w:r>
      <w:r w:rsidR="004A4DB7">
        <w:rPr>
          <w:rFonts w:eastAsia="Times New Roman" w:cs="Times New Roman"/>
        </w:rPr>
        <w:t>zu digitalisieren und so neu auf den Markt zu bringen.</w:t>
      </w:r>
    </w:p>
    <w:p w14:paraId="296DB6F6" w14:textId="2732233A" w:rsidR="002D3E7B" w:rsidRPr="008C57D2" w:rsidRDefault="002D3E7B" w:rsidP="00D205A6">
      <w:pPr>
        <w:rPr>
          <w:rFonts w:eastAsia="Times New Roman" w:cs="Times New Roman"/>
        </w:rPr>
      </w:pPr>
      <w:r>
        <w:rPr>
          <w:rFonts w:eastAsia="Times New Roman" w:cs="Times New Roman"/>
        </w:rPr>
        <w:t xml:space="preserve">Dem sollte heute in einer umfassenden ABWS Rechnung getragen werden, welche die offene und freie Nutzung publizierten Wissens, vor allem des überwiegend mit öffentlichen Mitteln geförderten Wissens erlaubt. Diese Nutzung bezieht sich auf das Vervielfältigungsrecht und das Recht der öffentlichen Zugänglichmachung – vorgesehen für Mitglieder in Forschungsgruppen und für Teilnehmer an Ausbildungsveranstaltungen auf allen Bildungsebenen. Für diese Nutzung sollten keine Umfangsbeschränkungen vorgenommen werden. So wie schon in </w:t>
      </w:r>
      <w:r>
        <w:t>InfoSoc</w:t>
      </w:r>
      <w:r w:rsidRPr="002B0042">
        <w:t xml:space="preserve"> 2001</w:t>
      </w:r>
      <w:r>
        <w:t xml:space="preserve"> </w:t>
      </w:r>
      <w:r w:rsidRPr="002B0042">
        <w:t>Art. 5, 3, a</w:t>
      </w:r>
      <w:r>
        <w:t xml:space="preserve"> vorgesehen, soll der Zweck der jeweiligen Forschung und der jeweiligen Ausbildungsaktivität die </w:t>
      </w:r>
      <w:r w:rsidR="00CF18DE">
        <w:t xml:space="preserve">ausreichende </w:t>
      </w:r>
      <w:r>
        <w:t>Legitimation für die Nutzung sein.</w:t>
      </w:r>
      <w:r w:rsidR="004A4DB7">
        <w:t xml:space="preserve"> </w:t>
      </w:r>
    </w:p>
    <w:p w14:paraId="34541038" w14:textId="588B49A0" w:rsidR="00606F90" w:rsidRDefault="00606F90" w:rsidP="00606F90">
      <w:r>
        <w:t>Eine umfassende</w:t>
      </w:r>
      <w:r w:rsidR="00700E93">
        <w:t xml:space="preserve"> </w:t>
      </w:r>
      <w:r>
        <w:t>Regelung für eine ABWS auf EU-Ebene könnte wie folgt aussehen. Dies ist allerdings kein ausformulierter Schrankenvorschlag, sondern soll nur den Rahmen einer europäische Lösung für eine ABWS darstellen</w:t>
      </w:r>
      <w:r>
        <w:rPr>
          <w:rStyle w:val="Funotenzeichen"/>
        </w:rPr>
        <w:footnoteReference w:id="26"/>
      </w:r>
      <w:r>
        <w:t>:</w:t>
      </w:r>
    </w:p>
    <w:p w14:paraId="17FF0066" w14:textId="497E3A1E" w:rsidR="00606F90" w:rsidRPr="00606F90" w:rsidRDefault="00606F90" w:rsidP="00606F90">
      <w:pPr>
        <w:rPr>
          <w:sz w:val="20"/>
          <w:szCs w:val="20"/>
        </w:rPr>
      </w:pPr>
      <w:r w:rsidRPr="00606F90">
        <w:rPr>
          <w:sz w:val="20"/>
          <w:szCs w:val="20"/>
        </w:rPr>
        <w:lastRenderedPageBreak/>
        <w:t>(1)</w:t>
      </w:r>
      <w:r w:rsidR="00CF18DE">
        <w:rPr>
          <w:sz w:val="20"/>
          <w:szCs w:val="20"/>
        </w:rPr>
        <w:t xml:space="preserve"> </w:t>
      </w:r>
      <w:r w:rsidRPr="00606F90">
        <w:rPr>
          <w:sz w:val="20"/>
          <w:szCs w:val="20"/>
        </w:rPr>
        <w:t>Erlaubt ist Vervielfältigung und öffentliche Zugänglichmachung von Werken für die Nutzung ausschließlich zur Veranschaulichung des Unterrichts (auf allen Bildungsebenen)</w:t>
      </w:r>
      <w:r w:rsidR="00700E93">
        <w:rPr>
          <w:sz w:val="20"/>
          <w:szCs w:val="20"/>
        </w:rPr>
        <w:t xml:space="preserve"> </w:t>
      </w:r>
      <w:r w:rsidRPr="00606F90">
        <w:rPr>
          <w:sz w:val="20"/>
          <w:szCs w:val="20"/>
        </w:rPr>
        <w:t xml:space="preserve">oder für Zwecke der wissenschaftlichen Forschung in Forschungsgruppen, soweit dies zur Verfolgung nicht kommerzieller Zwecke gerechtfertigt ist. </w:t>
      </w:r>
    </w:p>
    <w:p w14:paraId="2CBF0A8B" w14:textId="77777777" w:rsidR="00606F90" w:rsidRPr="00606F90" w:rsidRDefault="00606F90" w:rsidP="00606F90">
      <w:pPr>
        <w:rPr>
          <w:sz w:val="20"/>
          <w:szCs w:val="20"/>
        </w:rPr>
      </w:pPr>
      <w:r w:rsidRPr="00606F90">
        <w:rPr>
          <w:sz w:val="20"/>
          <w:szCs w:val="20"/>
        </w:rPr>
        <w:t>(2) Satz 1 schließt auch Folgehandlungen wie für TDM mit ein.</w:t>
      </w:r>
    </w:p>
    <w:p w14:paraId="380446E5" w14:textId="45355E8C" w:rsidR="00606F90" w:rsidRPr="00606F90" w:rsidRDefault="00606F90" w:rsidP="00606F90">
      <w:pPr>
        <w:rPr>
          <w:sz w:val="20"/>
          <w:szCs w:val="20"/>
        </w:rPr>
      </w:pPr>
      <w:r w:rsidRPr="00606F90">
        <w:rPr>
          <w:sz w:val="20"/>
          <w:szCs w:val="20"/>
        </w:rPr>
        <w:t>(3) Der Zugriff auf Bildung und Forschung unterstützende Handlungen der Bibliotheken, einschließlich der Nutzung ihrer digitalisie</w:t>
      </w:r>
      <w:r w:rsidR="00CF18DE">
        <w:rPr>
          <w:sz w:val="20"/>
          <w:szCs w:val="20"/>
        </w:rPr>
        <w:t xml:space="preserve">rten kulturbewahrenden Objekte und </w:t>
      </w:r>
      <w:r w:rsidRPr="00606F90">
        <w:rPr>
          <w:sz w:val="20"/>
          <w:szCs w:val="20"/>
        </w:rPr>
        <w:t xml:space="preserve">einschließlich der Folgehandlungen wie Abspeichern und Ausdrucken, ist vor Ort, aber </w:t>
      </w:r>
      <w:r w:rsidR="00CF18DE">
        <w:rPr>
          <w:sz w:val="20"/>
          <w:szCs w:val="20"/>
        </w:rPr>
        <w:t xml:space="preserve">auch </w:t>
      </w:r>
      <w:r w:rsidRPr="00606F90">
        <w:rPr>
          <w:sz w:val="20"/>
          <w:szCs w:val="20"/>
        </w:rPr>
        <w:t xml:space="preserve">durch externen, gesicherten, authorisierten Zugriff </w:t>
      </w:r>
      <w:r w:rsidR="00CF18DE">
        <w:rPr>
          <w:sz w:val="20"/>
          <w:szCs w:val="20"/>
        </w:rPr>
        <w:t xml:space="preserve"> (z.B. über VPN) </w:t>
      </w:r>
      <w:r w:rsidRPr="00606F90">
        <w:rPr>
          <w:sz w:val="20"/>
          <w:szCs w:val="20"/>
        </w:rPr>
        <w:t>erlaubt.</w:t>
      </w:r>
    </w:p>
    <w:p w14:paraId="78E640E2" w14:textId="2B78E772" w:rsidR="00606F90" w:rsidRPr="00D205A6" w:rsidRDefault="00606F90" w:rsidP="00606F90">
      <w:r w:rsidRPr="00606F90">
        <w:rPr>
          <w:sz w:val="20"/>
          <w:szCs w:val="20"/>
        </w:rPr>
        <w:t xml:space="preserve">(4) Die </w:t>
      </w:r>
      <w:r w:rsidR="00CF18DE">
        <w:rPr>
          <w:sz w:val="20"/>
          <w:szCs w:val="20"/>
        </w:rPr>
        <w:t xml:space="preserve">schrankenabhängigen </w:t>
      </w:r>
      <w:r w:rsidRPr="00606F90">
        <w:rPr>
          <w:sz w:val="20"/>
          <w:szCs w:val="20"/>
        </w:rPr>
        <w:t>Folgenutzungen von rechtmäßig erworbenen Werken für Zwecke der Ausbildung und von Forschung für nicht-kommerzielle Zwecke sind vergütungsfrei.</w:t>
      </w:r>
      <w:r>
        <w:tab/>
      </w:r>
    </w:p>
    <w:p w14:paraId="652ADFEB" w14:textId="77777777" w:rsidR="00871191" w:rsidRDefault="00A04A3A" w:rsidP="009125F7">
      <w:pPr>
        <w:pStyle w:val="berschrift2"/>
      </w:pPr>
      <w:bookmarkStart w:id="18" w:name="presseverleger"/>
      <w:bookmarkStart w:id="19" w:name="_Ref349293268"/>
      <w:bookmarkEnd w:id="18"/>
      <w:r>
        <w:t>Einführung eines Leistungsschutz</w:t>
      </w:r>
      <w:r w:rsidR="00465F0D">
        <w:t>recht</w:t>
      </w:r>
      <w:r w:rsidR="0095035B">
        <w:t>s</w:t>
      </w:r>
      <w:r>
        <w:t xml:space="preserve"> für Presseverleger</w:t>
      </w:r>
      <w:r w:rsidR="001516B6">
        <w:t xml:space="preserve"> nicht angebracht</w:t>
      </w:r>
      <w:bookmarkEnd w:id="19"/>
    </w:p>
    <w:p w14:paraId="26AFE4B2" w14:textId="1EC43C85" w:rsidR="003C0F6C" w:rsidRDefault="00BC14B5" w:rsidP="00A04A3A">
      <w:r>
        <w:t>Es wird</w:t>
      </w:r>
      <w:r w:rsidR="003E3C44">
        <w:t xml:space="preserve"> – auch nach den Erfahrungen in Deutschland mit einer entsprechenden Regelung – für einen Fehler und für eine ernsthafte Einschränkung von </w:t>
      </w:r>
      <w:r>
        <w:t>Link-/</w:t>
      </w:r>
      <w:r w:rsidR="003E3C44">
        <w:t>Informationsfreiheit</w:t>
      </w:r>
      <w:r>
        <w:t xml:space="preserve"> gehalten</w:t>
      </w:r>
      <w:r w:rsidR="003E3C44">
        <w:t xml:space="preserve">, dass die EU-Kommission </w:t>
      </w:r>
      <w:r w:rsidR="00A613BD">
        <w:t xml:space="preserve">über Art. 11 </w:t>
      </w:r>
      <w:r w:rsidR="003E3C44">
        <w:t>ein Leistungs</w:t>
      </w:r>
      <w:r w:rsidR="000D0990">
        <w:t>s</w:t>
      </w:r>
      <w:r w:rsidR="003E3C44">
        <w:t xml:space="preserve">chutzrecht für Presseverleger (nicht allgemein für Verleger) einführen will. </w:t>
      </w:r>
      <w:r>
        <w:t>Dieses</w:t>
      </w:r>
      <w:r w:rsidR="003E3C44">
        <w:t xml:space="preserve"> Leistungsschutzrecht </w:t>
      </w:r>
      <w:r>
        <w:t xml:space="preserve">betrifft mit negativen Folgen </w:t>
      </w:r>
      <w:r w:rsidR="003E3C44">
        <w:t>auch Bildung und Wissenschaft</w:t>
      </w:r>
      <w:r w:rsidR="00EB2D2C">
        <w:t>. I</w:t>
      </w:r>
      <w:r w:rsidR="003E3C44">
        <w:t>n</w:t>
      </w:r>
      <w:r w:rsidR="00B26AC7">
        <w:t xml:space="preserve"> </w:t>
      </w:r>
      <w:r w:rsidR="003E3C44">
        <w:t>ma</w:t>
      </w:r>
      <w:r w:rsidR="00210982">
        <w:t>n</w:t>
      </w:r>
      <w:r w:rsidR="00EB2D2C">
        <w:t xml:space="preserve">chen Sektoren </w:t>
      </w:r>
      <w:r w:rsidR="003E3C44">
        <w:t xml:space="preserve">können mediale Objekte jeder </w:t>
      </w:r>
      <w:r w:rsidR="00CF18DE">
        <w:t xml:space="preserve">Art </w:t>
      </w:r>
      <w:r w:rsidR="003E3C44">
        <w:t xml:space="preserve">der Presse durchaus auch Gegenstand von Forschung und vor allem auch </w:t>
      </w:r>
      <w:r w:rsidR="002C23C2">
        <w:t>von</w:t>
      </w:r>
      <w:r w:rsidR="003E3C44">
        <w:t xml:space="preserve"> </w:t>
      </w:r>
      <w:r w:rsidR="00DD210B">
        <w:t xml:space="preserve">Lehre und Lernen der </w:t>
      </w:r>
      <w:r w:rsidR="003E3C44">
        <w:t>Aus- und Weiterbildung auf allen Ebenen sein.</w:t>
      </w:r>
      <w:r w:rsidR="00A613BD">
        <w:t xml:space="preserve"> </w:t>
      </w:r>
    </w:p>
    <w:p w14:paraId="1F6F96BA" w14:textId="77777777" w:rsidR="00491AF1" w:rsidRDefault="00BC14B5" w:rsidP="00491AF1">
      <w:r>
        <w:t>Das in Deutschland schon eingeführte L</w:t>
      </w:r>
      <w:r w:rsidR="00A613BD">
        <w:t>eistungsschutzrecht für Presseverleger</w:t>
      </w:r>
      <w:r w:rsidR="00B26AC7">
        <w:t xml:space="preserve"> </w:t>
      </w:r>
      <w:r>
        <w:t>hat sich (so die überwiegende Einschätzung d</w:t>
      </w:r>
      <w:r w:rsidR="00465F0D">
        <w:t>er Fachwelt außerhalb der Presse</w:t>
      </w:r>
      <w:r>
        <w:t>lo</w:t>
      </w:r>
      <w:r w:rsidR="00465F0D">
        <w:t>bby selber) als offensichtlicher</w:t>
      </w:r>
      <w:r w:rsidR="00A613BD">
        <w:t xml:space="preserve"> Fehlschlag </w:t>
      </w:r>
      <w:r>
        <w:t>herausgestellt</w:t>
      </w:r>
      <w:r w:rsidR="00A613BD">
        <w:t>.</w:t>
      </w:r>
      <w:r>
        <w:t xml:space="preserve"> Nicht zuletzt haben sich weder</w:t>
      </w:r>
      <w:r w:rsidR="00EB2D2C">
        <w:t xml:space="preserve"> die Einnahmen der Verlage dadur</w:t>
      </w:r>
      <w:r>
        <w:t>ch vergrößert</w:t>
      </w:r>
      <w:r w:rsidR="00EB2D2C">
        <w:t>,</w:t>
      </w:r>
      <w:r>
        <w:t xml:space="preserve"> noch konnten die Journalisten als Autoren davon Nutzen ziehen.</w:t>
      </w:r>
    </w:p>
    <w:p w14:paraId="58F0AB46" w14:textId="20D539EC" w:rsidR="00491AF1" w:rsidRPr="00491AF1" w:rsidRDefault="00022A5D" w:rsidP="00491AF1">
      <w:r>
        <w:t>D</w:t>
      </w:r>
      <w:r w:rsidR="003C0F6C">
        <w:t xml:space="preserve">ie Reaktionen auf die beabsichtigte Einführung eines neuen </w:t>
      </w:r>
      <w:r w:rsidR="00CF18DE">
        <w:t>EU-</w:t>
      </w:r>
      <w:r w:rsidR="003C0F6C">
        <w:t xml:space="preserve">Rechts </w:t>
      </w:r>
      <w:r w:rsidR="0040679E">
        <w:t>(Leistungsschutzrechts) in Art. 11 sind durchweg negativ. In einer Erklärung von 30 Rechtswissenschaft</w:t>
      </w:r>
      <w:r w:rsidR="00C67555">
        <w:t>lern</w:t>
      </w:r>
      <w:r w:rsidR="0040679E">
        <w:t xml:space="preserve"> im UK heisst es: </w:t>
      </w:r>
      <w:r w:rsidR="0040679E" w:rsidRPr="0040679E">
        <w:t>"we believe the proposed right is unnecessary, undesirable, would introduce an unacceptable level of uncertainty and be unlikely to achieve anything ap</w:t>
      </w:r>
      <w:r w:rsidR="00EC62F1">
        <w:t>Art.</w:t>
      </w:r>
      <w:r w:rsidR="0040679E" w:rsidRPr="0040679E">
        <w:t>from adding to the complexity and cost of operating in the copyright environment"</w:t>
      </w:r>
      <w:r w:rsidR="0040679E">
        <w:t>.</w:t>
      </w:r>
      <w:r w:rsidR="0040679E">
        <w:rPr>
          <w:rStyle w:val="Funotenzeichen"/>
        </w:rPr>
        <w:footnoteReference w:id="27"/>
      </w:r>
      <w:r w:rsidR="0040679E">
        <w:t xml:space="preserve"> </w:t>
      </w:r>
      <w:r w:rsidR="00BC1CAC">
        <w:t>Auch der BDI</w:t>
      </w:r>
      <w:r>
        <w:t xml:space="preserve"> (vgl. </w:t>
      </w:r>
      <w:r w:rsidR="00BC1CAC">
        <w:t xml:space="preserve">, </w:t>
      </w:r>
      <w:r w:rsidR="00BC1CAC" w:rsidRPr="00491AF1">
        <w:t>die Spitzenorganisation der</w:t>
      </w:r>
      <w:r w:rsidR="00491AF1" w:rsidRPr="00491AF1">
        <w:t xml:space="preserve"> deutschen Industrie und der in</w:t>
      </w:r>
      <w:r w:rsidR="00BC1CAC" w:rsidRPr="00491AF1">
        <w:t>dus</w:t>
      </w:r>
      <w:r w:rsidR="00491AF1" w:rsidRPr="00491AF1">
        <w:t>tr</w:t>
      </w:r>
      <w:r w:rsidR="00BC1CAC" w:rsidRPr="00491AF1">
        <w:t>trienahen Dienstleister</w:t>
      </w:r>
      <w:r w:rsidR="00491AF1" w:rsidRPr="00491AF1">
        <w:t xml:space="preserve">, „warnt davor, den Fehler der digital- und ordnungspolitisch schädlichen und letztlich auch für die deutschen Presseverlage erfolglosen Einführung eines solchen Rechts nun auf EU-Ebene zu wiederholen, und lehnt die Einführung eines Leistungsschutzrechts für Presseverleger in vollem Umfang ab. Andernfalls drohen jahrelange Rechtsunsicherheiten , unkalkulierbare Lizenzierungspflichten für zahlreiche deutsche (Industrie-) Unternehmen und die </w:t>
      </w:r>
      <w:r w:rsidR="00491AF1" w:rsidRPr="00491AF1">
        <w:lastRenderedPageBreak/>
        <w:t>Verhinderung neuer, innovativer Geschäftsmodelle im Internet. Zudem überzeugen die Argumente für ein Leistungsschutzrecht auch in der Sache nicht.“</w:t>
      </w:r>
      <w:r w:rsidR="00491AF1">
        <w:rPr>
          <w:rStyle w:val="Funotenzeichen"/>
        </w:rPr>
        <w:footnoteReference w:id="28"/>
      </w:r>
      <w:r w:rsidR="00CF18DE">
        <w:t xml:space="preserve"> </w:t>
      </w:r>
    </w:p>
    <w:p w14:paraId="47A8D748" w14:textId="0443E58C" w:rsidR="00C67555" w:rsidRDefault="0040679E" w:rsidP="00A04A3A">
      <w:r>
        <w:t>Wenn überhaupt etwas zugunsten der Presseverlage getan werden soll, dann wäre das Mittel nicht, ein neues Recht einzuführen, sondern die Lizenzierungsmöglichkeiten auszunutzen oder gar von den Medien selber entspreche</w:t>
      </w:r>
      <w:r w:rsidR="005D68C6">
        <w:t>nde Dienste zu entwickel</w:t>
      </w:r>
      <w:r>
        <w:t xml:space="preserve">n, durch die ein Teil des Internet-Traffic, der bislang überwiegend auf den Nachweis der Presseerzeignisse durch Suchmaschinen geht, an die Presseverlage direkt gehen könnte. </w:t>
      </w:r>
    </w:p>
    <w:p w14:paraId="25EA8CE1" w14:textId="36D06B43" w:rsidR="00CF18DE" w:rsidRDefault="0040679E" w:rsidP="00A04A3A">
      <w:r>
        <w:t>In Deutschland wird vor allem auf der Website IGEL</w:t>
      </w:r>
      <w:r w:rsidR="00CF18DE">
        <w:rPr>
          <w:rStyle w:val="Funotenzeichen"/>
        </w:rPr>
        <w:footnoteReference w:id="29"/>
      </w:r>
      <w:r>
        <w:t xml:space="preserve"> (</w:t>
      </w:r>
      <w:r w:rsidR="007746F3" w:rsidRPr="007746F3">
        <w:t>Initiative gegen ein Leistungsschutzrecht</w:t>
      </w:r>
      <w:r>
        <w:t>) gegen das (in Deutschland schon eingeführte und jetzt in der EU geplante Leistungsschutz</w:t>
      </w:r>
      <w:r w:rsidR="002D3FB3">
        <w:t>recht für Presseverleger</w:t>
      </w:r>
      <w:r>
        <w:t>) opponiert</w:t>
      </w:r>
      <w:r w:rsidR="00CF18DE">
        <w:t>.</w:t>
      </w:r>
      <w:r w:rsidR="002D3FB3">
        <w:t xml:space="preserve"> </w:t>
      </w:r>
      <w:r w:rsidR="00CF18DE">
        <w:t>Es</w:t>
      </w:r>
      <w:r w:rsidR="002D3FB3">
        <w:t xml:space="preserve"> werden </w:t>
      </w:r>
      <w:r w:rsidR="00CF18DE">
        <w:t xml:space="preserve">zudem </w:t>
      </w:r>
      <w:r w:rsidR="002D3FB3">
        <w:t>Vorschläge gemacht, wie Verbesserungen zugunsten der Verlege ohne die Einführung eines neuen Rechts erreicht werden können.</w:t>
      </w:r>
      <w:r w:rsidR="002D3FB3" w:rsidRPr="002D3FB3">
        <w:rPr>
          <w:rStyle w:val="Funotenzeichen"/>
        </w:rPr>
        <w:t xml:space="preserve"> </w:t>
      </w:r>
      <w:r w:rsidR="002D3FB3">
        <w:rPr>
          <w:rStyle w:val="Funotenzeichen"/>
        </w:rPr>
        <w:footnoteReference w:id="30"/>
      </w:r>
      <w:r w:rsidR="00CF18DE">
        <w:t xml:space="preserve"> IGEL bringt diese Argumente auch über c4c (</w:t>
      </w:r>
      <w:r w:rsidR="00CF18DE" w:rsidRPr="007746F3">
        <w:rPr>
          <w:i/>
        </w:rPr>
        <w:t>Copyright for Creativity</w:t>
      </w:r>
      <w:r w:rsidR="00CF18DE">
        <w:t>)</w:t>
      </w:r>
      <w:r w:rsidR="00CF18DE">
        <w:rPr>
          <w:rStyle w:val="Funotenzeichen"/>
        </w:rPr>
        <w:footnoteReference w:id="31"/>
      </w:r>
      <w:r w:rsidR="007746F3">
        <w:t xml:space="preserve"> in di</w:t>
      </w:r>
      <w:r w:rsidR="00CF18DE">
        <w:t>e europäische Diskussion ein.</w:t>
      </w:r>
    </w:p>
    <w:p w14:paraId="6127BEC3" w14:textId="602A7BE1" w:rsidR="00A04A3A" w:rsidRDefault="001516B6" w:rsidP="009125F7">
      <w:pPr>
        <w:pStyle w:val="berschrift2"/>
      </w:pPr>
      <w:bookmarkStart w:id="20" w:name="ausschuettungen"/>
      <w:bookmarkStart w:id="21" w:name="_Ref349751701"/>
      <w:bookmarkEnd w:id="20"/>
      <w:r>
        <w:t xml:space="preserve">Regelung der </w:t>
      </w:r>
      <w:r w:rsidR="00A04A3A">
        <w:t>Beteiligung der Verlage an den Aus</w:t>
      </w:r>
      <w:r w:rsidR="00FD5D69">
        <w:t>s</w:t>
      </w:r>
      <w:r w:rsidR="00A04A3A">
        <w:t>chüttungen der Verwertungsgesellschaften</w:t>
      </w:r>
      <w:bookmarkEnd w:id="21"/>
    </w:p>
    <w:p w14:paraId="4CCE1F46" w14:textId="2AB25F58" w:rsidR="00647BF7" w:rsidRDefault="00BC14B5" w:rsidP="00A04A3A">
      <w:r>
        <w:t>Die jüngsten hier einschlägigen Entscheidungen sowohl des EuGH als auch des BGH</w:t>
      </w:r>
      <w:r w:rsidR="00405A2E">
        <w:rPr>
          <w:rStyle w:val="Funotenzeichen"/>
        </w:rPr>
        <w:footnoteReference w:id="32"/>
      </w:r>
      <w:r>
        <w:t xml:space="preserve"> hatten klargestellt, dass es die Autoren sind, die als die originalen </w:t>
      </w:r>
      <w:r w:rsidR="00B70658">
        <w:t>Rechtsinhaber</w:t>
      </w:r>
      <w:r>
        <w:t xml:space="preserve"> zu gelten haben, und dass daher ihnen und nicht den Verlegern als den Inha</w:t>
      </w:r>
      <w:r w:rsidR="00465F0D">
        <w:t xml:space="preserve">bern sekundärer Nutzungsrechte </w:t>
      </w:r>
      <w:r>
        <w:t xml:space="preserve">die volle Vergütung durch die Verwertungsgesellschaften für die Nutzung ihrer Werke </w:t>
      </w:r>
      <w:r w:rsidR="00DC40E0">
        <w:t>zusteht</w:t>
      </w:r>
      <w:r>
        <w:t xml:space="preserve">. </w:t>
      </w:r>
      <w:r w:rsidR="00C67555">
        <w:t>Entsprechend dürfen nun die Verlage in Ländern, in denen, wie in Deutschland über die VG-Wort,</w:t>
      </w:r>
      <w:r w:rsidR="000E569C">
        <w:t xml:space="preserve"> aber auch über die GEMA und </w:t>
      </w:r>
      <w:r w:rsidR="000E569C">
        <w:rPr>
          <w:rFonts w:eastAsia="Times New Roman" w:cs="Times New Roman"/>
        </w:rPr>
        <w:t>VG BildKunst</w:t>
      </w:r>
      <w:r w:rsidR="000E569C">
        <w:t>,</w:t>
      </w:r>
      <w:r w:rsidR="00700E93">
        <w:t xml:space="preserve"> </w:t>
      </w:r>
      <w:r w:rsidR="00C67555">
        <w:t xml:space="preserve">ein Teil der Ausschüttungen der Verwertungsgesellschaften an die Verlage ging, nicht mehr </w:t>
      </w:r>
      <w:r w:rsidR="002D3FB3">
        <w:t>daran beteiligt werden. Sie müssen sogar rückwirkend für einige Jahren die ihnen nicht zustehenden Beträge wieder zurückzahlen.</w:t>
      </w:r>
    </w:p>
    <w:p w14:paraId="2D4B733B" w14:textId="6277D139" w:rsidR="00615C17" w:rsidRDefault="00BC14B5" w:rsidP="00A04A3A">
      <w:r>
        <w:t xml:space="preserve">Es ist nicht </w:t>
      </w:r>
      <w:r w:rsidR="00C67555">
        <w:t xml:space="preserve">leicht </w:t>
      </w:r>
      <w:r>
        <w:t>nachzuvollziehen</w:t>
      </w:r>
      <w:r w:rsidR="003E3C44">
        <w:t xml:space="preserve">, </w:t>
      </w:r>
      <w:r w:rsidR="00C67555">
        <w:t>warum</w:t>
      </w:r>
      <w:r w:rsidR="003E3C44">
        <w:t xml:space="preserve"> die EU-Kommission </w:t>
      </w:r>
      <w:r w:rsidR="009D6F92">
        <w:t xml:space="preserve">diese Entscheidungen der obersten Gerichte </w:t>
      </w:r>
      <w:r>
        <w:t>ignoriert, indem sie</w:t>
      </w:r>
      <w:r w:rsidR="009D6F92">
        <w:t xml:space="preserve"> </w:t>
      </w:r>
      <w:r w:rsidR="008D77CF">
        <w:t xml:space="preserve">in Art. 12 </w:t>
      </w:r>
      <w:r w:rsidR="001B7498">
        <w:t xml:space="preserve">(Claims to fair compensation) </w:t>
      </w:r>
      <w:r w:rsidR="009D6F92">
        <w:t xml:space="preserve">die Beteiligung der Verleger an der Ausschüttung der </w:t>
      </w:r>
      <w:r>
        <w:t>Verwertungsgesellschaften</w:t>
      </w:r>
      <w:r w:rsidR="009D6F92">
        <w:t xml:space="preserve"> nun rechtlich </w:t>
      </w:r>
      <w:r w:rsidR="00A613BD">
        <w:t xml:space="preserve">als „fair compensation“ </w:t>
      </w:r>
      <w:r w:rsidR="009D6F92">
        <w:t>r</w:t>
      </w:r>
      <w:r w:rsidR="008D77CF">
        <w:t>egeln will</w:t>
      </w:r>
      <w:r w:rsidR="009D6F92">
        <w:t>.</w:t>
      </w:r>
      <w:r w:rsidR="00615C17">
        <w:t xml:space="preserve"> (v</w:t>
      </w:r>
      <w:r w:rsidR="00F84597">
        <w:t>gl. auch Abschnitt</w:t>
      </w:r>
      <w:r w:rsidR="00B26AC7">
        <w:t xml:space="preserve"> </w:t>
      </w:r>
      <w:r w:rsidR="00536C21">
        <w:t xml:space="preserve">2.7 </w:t>
      </w:r>
      <w:r w:rsidR="00F84597">
        <w:t>zur Vergütungsfrage im Bereich Wi</w:t>
      </w:r>
      <w:r w:rsidR="00DC40E0">
        <w:t>ssenschaft.)</w:t>
      </w:r>
      <w:r w:rsidR="009D6F92">
        <w:t xml:space="preserve"> </w:t>
      </w:r>
      <w:r>
        <w:t>Dies ist</w:t>
      </w:r>
      <w:r w:rsidR="009D6F92">
        <w:t xml:space="preserve"> nicht nur eine Benachteiligung der </w:t>
      </w:r>
      <w:r w:rsidR="009D6F92">
        <w:lastRenderedPageBreak/>
        <w:t xml:space="preserve">Autoren und Autorinnen, sondern auch </w:t>
      </w:r>
      <w:r w:rsidR="00615C17">
        <w:t xml:space="preserve">m.E. nach </w:t>
      </w:r>
      <w:r w:rsidR="009D6F92">
        <w:t>eine wirtschaft</w:t>
      </w:r>
      <w:r w:rsidR="00647BF7">
        <w:t>spolitisch falsche Entscheidung.</w:t>
      </w:r>
    </w:p>
    <w:p w14:paraId="09749ADD" w14:textId="3416F34C" w:rsidR="00403AAD" w:rsidRDefault="001B7498" w:rsidP="00A04A3A">
      <w:r>
        <w:t xml:space="preserve">Zudem scheint es mir urheberrechtssystematisch problematisch zu sein, aus der über Verträge erfolgten Übertragung der Verwertungsrechte der Urheber als Nutzungsrechte an die Verleger zu folgern, dass nun auch den Verlegern Anteile an der durch Schrankenregelungen entstandenen Nutzungen zuzugestehen. Schranken werden ausschließlich durch das öffentliche Interesse an einer genehmigungsfreien Nutzung urheberrechtsgeschützter Werke </w:t>
      </w:r>
      <w:r w:rsidR="00403AAD">
        <w:t xml:space="preserve">legitimiert. Verlage sichern ihrer finanzielle Basis durch Verkauf oder Lizenz der ihnen von den Autoren bereitgestellten Werke ab.  Weitere Einnahmen  über Schrankennutzungen sollten nicht über das Urheberrecht gerantiert werden. Finanzierungsprobleme kommerzielle Verwerter sollten nicht über das Urheberrecht gelöst werden sollen. Durch Vorschläge wie in Art. 12 werden Verlage ermuntert, an ihren alten und in elektronischen Umgebungen obsoleten Publikations-/Geschäftsmodellen festzuhalten, anstatt innovative Verfahren (Produkte und Dienstleistungen) auf den Markt zu bringen, für die dann auch Einnahmen (nicht zuletzt auch durch Web-Traffic) erzielt werden können. (vgl. Abschnitt </w:t>
      </w:r>
      <w:r w:rsidR="00403AAD">
        <w:fldChar w:fldCharType="begin"/>
      </w:r>
      <w:r w:rsidR="00403AAD">
        <w:instrText xml:space="preserve"> REF presseverleger \r \h </w:instrText>
      </w:r>
      <w:r w:rsidR="00403AAD">
        <w:fldChar w:fldCharType="separate"/>
      </w:r>
      <w:r w:rsidR="002B006B">
        <w:t>2.4</w:t>
      </w:r>
      <w:r w:rsidR="00403AAD">
        <w:fldChar w:fldCharType="end"/>
      </w:r>
      <w:r w:rsidR="00403AAD">
        <w:t>)</w:t>
      </w:r>
    </w:p>
    <w:p w14:paraId="1881F7AB" w14:textId="32A06428" w:rsidR="000E569C" w:rsidRDefault="00403AAD" w:rsidP="00A04A3A">
      <w:r>
        <w:t>A</w:t>
      </w:r>
      <w:r w:rsidR="002D3FB3">
        <w:t xml:space="preserve">llerdings </w:t>
      </w:r>
      <w:r w:rsidR="00615C17">
        <w:t>überwiegt derzeit</w:t>
      </w:r>
      <w:r w:rsidR="002D3FB3">
        <w:t xml:space="preserve"> in der europäischen, aber auch </w:t>
      </w:r>
      <w:r w:rsidR="00615C17">
        <w:t xml:space="preserve">in </w:t>
      </w:r>
      <w:r w:rsidR="002D3FB3">
        <w:t xml:space="preserve">der deutschen Politik </w:t>
      </w:r>
      <w:r w:rsidR="00615C17">
        <w:t>die Ansicht</w:t>
      </w:r>
      <w:r w:rsidR="002D3FB3">
        <w:t xml:space="preserve">, dass das </w:t>
      </w:r>
      <w:r w:rsidR="00615C17">
        <w:t>jahrelang</w:t>
      </w:r>
      <w:r w:rsidR="002D3FB3">
        <w:t xml:space="preserve"> praktizierte Verfahren, Verleger an der Ausschüttung der Verwertungsgesellschaften</w:t>
      </w:r>
      <w:r w:rsidR="00700E93">
        <w:t xml:space="preserve"> </w:t>
      </w:r>
      <w:r w:rsidR="002D3FB3">
        <w:t xml:space="preserve">zu beteiligen, fair und angemessen </w:t>
      </w:r>
      <w:r w:rsidR="00615C17">
        <w:t>gew</w:t>
      </w:r>
      <w:r w:rsidR="007746F3">
        <w:t>e</w:t>
      </w:r>
      <w:r w:rsidR="00615C17">
        <w:t>sen sei und nun juristisch wasserfest gemacht werden sollte</w:t>
      </w:r>
      <w:r w:rsidR="002D3FB3">
        <w:t xml:space="preserve">. </w:t>
      </w:r>
    </w:p>
    <w:p w14:paraId="0121B5A6" w14:textId="6C92C713" w:rsidR="009D0D39" w:rsidRDefault="002D3FB3" w:rsidP="00A04A3A">
      <w:r>
        <w:t xml:space="preserve">In Deutschland wird als </w:t>
      </w:r>
      <w:r w:rsidR="000E569C">
        <w:t xml:space="preserve">(gesetzlich geregelte) </w:t>
      </w:r>
      <w:r>
        <w:t xml:space="preserve">Übergangslösung versucht, den Verlage dadurch entgegenzukommen, dass es den Autoren </w:t>
      </w:r>
      <w:r w:rsidR="009D0D39">
        <w:rPr>
          <w:rFonts w:eastAsia="Times New Roman" w:cs="Times New Roman"/>
        </w:rPr>
        <w:t xml:space="preserve">nach der Veröffentlichung eines verlegten Werkes oder mit der Anmeldung des Werkes bei der Verwertungsgesellschaft </w:t>
      </w:r>
      <w:r>
        <w:t>gestattet</w:t>
      </w:r>
      <w:r w:rsidR="00615C17">
        <w:t xml:space="preserve"> ist</w:t>
      </w:r>
      <w:r>
        <w:t>, auf den ihnen jetzt zustehenden Verlageranteil bei der Vergütung zugunsten der Verleger zu verzichten.</w:t>
      </w:r>
      <w:r w:rsidR="000E569C">
        <w:rPr>
          <w:rStyle w:val="Funotenzeichen"/>
        </w:rPr>
        <w:footnoteReference w:id="33"/>
      </w:r>
      <w:r>
        <w:t xml:space="preserve"> </w:t>
      </w:r>
    </w:p>
    <w:p w14:paraId="080DD908" w14:textId="3CDB539A" w:rsidR="00C67555" w:rsidRDefault="002D3FB3" w:rsidP="00A04A3A">
      <w:r>
        <w:t xml:space="preserve">Entsprechende Aufforderungen gingen seit Anfang 2017 von vielen Verlagen an ihre Autoren heraus. Dies ist eine (wohl bis Ende Februar) befristete Aktion. In welchem Umfang Autoren sich darauf eingelassen haben, wurde bislang nicht öffentlich gemacht. Den jeweiligen nationalen Gesetzgebungen war es wegen der derzeit noch existierenden unionsrechtlichen Vorgaben </w:t>
      </w:r>
      <w:r w:rsidR="00615C17">
        <w:t>nicht möglich</w:t>
      </w:r>
      <w:r>
        <w:t>, eine weitergehende Lösung zugunsten der Verlage zu erreichen.</w:t>
      </w:r>
      <w:r w:rsidR="00615C17">
        <w:t xml:space="preserve"> Dafür </w:t>
      </w:r>
      <w:r w:rsidR="009D0D39">
        <w:t>müssen</w:t>
      </w:r>
      <w:r w:rsidR="00615C17">
        <w:t xml:space="preserve"> erst in der EU die Voraussetzungen, wie jetzt in Ar</w:t>
      </w:r>
      <w:r w:rsidR="009D0D39">
        <w:t>t. 12 des Kommissionsvorschlags</w:t>
      </w:r>
      <w:r w:rsidR="00615C17">
        <w:t xml:space="preserve"> </w:t>
      </w:r>
      <w:r w:rsidR="009D0D39">
        <w:t xml:space="preserve">geplant, </w:t>
      </w:r>
      <w:r w:rsidR="00615C17">
        <w:t>geschaffen</w:t>
      </w:r>
      <w:r w:rsidR="009D0D39">
        <w:t xml:space="preserve"> werden</w:t>
      </w:r>
      <w:r w:rsidR="00615C17">
        <w:t>. Ob und wann das geschieht, ist offen.</w:t>
      </w:r>
      <w:r w:rsidR="007746F3">
        <w:t xml:space="preserve"> Bis dahin haben die Verlage keinen direkten Anspruch auf eine Beteiligung an den Ausschüttungen der Verwertungsgesellschaften.</w:t>
      </w:r>
    </w:p>
    <w:p w14:paraId="7B2138D7" w14:textId="4AB570DF" w:rsidR="00F84597" w:rsidRDefault="008A31FF" w:rsidP="009125F7">
      <w:pPr>
        <w:pStyle w:val="berschrift2"/>
      </w:pPr>
      <w:bookmarkStart w:id="22" w:name="Verguetung"/>
      <w:bookmarkEnd w:id="22"/>
      <w:r>
        <w:t xml:space="preserve"> </w:t>
      </w:r>
      <w:bookmarkStart w:id="23" w:name="_Ref349408320"/>
      <w:r w:rsidR="00F84597">
        <w:t xml:space="preserve">Vergütung im Bereich </w:t>
      </w:r>
      <w:r w:rsidR="00C63EA4">
        <w:t>Bildung und Wissenchaft</w:t>
      </w:r>
      <w:bookmarkEnd w:id="23"/>
    </w:p>
    <w:p w14:paraId="5148697B" w14:textId="30555643" w:rsidR="00620178" w:rsidRDefault="00C63EA4" w:rsidP="00620178">
      <w:pPr>
        <w:rPr>
          <w:rFonts w:eastAsia="Times New Roman" w:cs="Times New Roman"/>
        </w:rPr>
      </w:pPr>
      <w:bookmarkStart w:id="24" w:name="_Ref349657593"/>
      <w:r>
        <w:t xml:space="preserve">Die Vergütungsfrage wird im Vorschlag der EU-Kommission kaum aus der Perspektive von Bildung und Wissenschaft angesprochen. </w:t>
      </w:r>
      <w:r w:rsidR="007746F3">
        <w:rPr>
          <w:rFonts w:eastAsia="Times New Roman" w:cs="Times New Roman"/>
        </w:rPr>
        <w:t>Diese sollte</w:t>
      </w:r>
      <w:r w:rsidR="00620178">
        <w:rPr>
          <w:rFonts w:eastAsia="Times New Roman" w:cs="Times New Roman"/>
        </w:rPr>
        <w:t xml:space="preserve"> in den Wissenschafts- und </w:t>
      </w:r>
      <w:r w:rsidR="00620178">
        <w:rPr>
          <w:rFonts w:eastAsia="Times New Roman" w:cs="Times New Roman"/>
        </w:rPr>
        <w:lastRenderedPageBreak/>
        <w:t>Bildungsmärkten ganz anders beantwortet werden als auf den allgemeinen Publikumsmärkten. Dazu nur einige Hinweise:</w:t>
      </w:r>
      <w:bookmarkEnd w:id="24"/>
    </w:p>
    <w:p w14:paraId="77D4EA67" w14:textId="20AF95E5" w:rsidR="00620178" w:rsidRDefault="00620178" w:rsidP="00620178">
      <w:pPr>
        <w:pStyle w:val="Listenabsatz"/>
      </w:pPr>
      <w:r>
        <w:t>Die weitaus überwiegende Mehrheit der Wissenschaft</w:t>
      </w:r>
      <w:r w:rsidR="007746F3">
        <w:t>ler</w:t>
      </w:r>
      <w:r>
        <w:t xml:space="preserve"> ist an einer monetären Anerkennung ihrer Arbeit nicht interessiert. Wie jüngst noch einmal durch eine von der EU in Auftrag gegebene Studie bestätigt wird</w:t>
      </w:r>
      <w:r>
        <w:rPr>
          <w:rStyle w:val="Funotenzeichen"/>
        </w:rPr>
        <w:footnoteReference w:id="34"/>
      </w:r>
      <w:r>
        <w:t xml:space="preserve">, erhalten Autoren in dem für Wissenschaft wichtigsten Sektor – Artikel in wissenschaftlichen Zeitschriften – so gut wie nie eine Vergütung von den Verlagen (bis auf wenige Buchausnahmen und Fachgebiete wie Jura), denen sie ihre Verwertungsrechte als Nutzungsrechte per Vertrag abgetreten haben. </w:t>
      </w:r>
    </w:p>
    <w:p w14:paraId="7055BC09" w14:textId="4109417B" w:rsidR="00620178" w:rsidRDefault="00620178" w:rsidP="00620178">
      <w:pPr>
        <w:pStyle w:val="Listenabsatz"/>
      </w:pPr>
      <w:r>
        <w:t>Schrankenbezogene Nutzung sollten</w:t>
      </w:r>
      <w:r w:rsidR="007746F3" w:rsidRPr="007746F3">
        <w:t xml:space="preserve"> </w:t>
      </w:r>
      <w:r w:rsidR="007746F3">
        <w:t>von solchen Werken</w:t>
      </w:r>
      <w:r>
        <w:t xml:space="preserve"> nicht vergütungspflichtig sein, die überwiegend durch Autoren entstanden sind, die öffentlich finanziert werden. Dieser Gruppe der Autoren – und das ist der weitaus größte Teil aller Autoren nicht nur der Hochschulen, sondern a</w:t>
      </w:r>
      <w:r w:rsidR="007746F3">
        <w:t>uch der Forschungsinstitutionen</w:t>
      </w:r>
      <w:r>
        <w:t xml:space="preserve"> außerhalb der Hochschulen</w:t>
      </w:r>
      <w:r w:rsidR="007746F3">
        <w:t>, einschließlich der Ressortforschungen der Ministerien</w:t>
      </w:r>
      <w:r>
        <w:t xml:space="preserve"> – sollte nicht als Spezialfall, sondern als Default Rechnung getragen werden.</w:t>
      </w:r>
    </w:p>
    <w:p w14:paraId="3FCA1577" w14:textId="29D72660" w:rsidR="00620178" w:rsidRDefault="00620178" w:rsidP="00F84597">
      <w:pPr>
        <w:pStyle w:val="Listenabsatz"/>
      </w:pPr>
      <w:r>
        <w:t>Auch in der EU sollten zukunftsweisende Überlegung angestellt werden, „</w:t>
      </w:r>
      <w:r w:rsidRPr="00764D27">
        <w:t>das Urheberrecht dahingehend zu ändern, </w:t>
      </w:r>
      <w:r w:rsidRPr="00620178">
        <w:rPr>
          <w:bCs/>
        </w:rPr>
        <w:t xml:space="preserve">dass urheberrechtlich geschützte Werke </w:t>
      </w:r>
      <w:r w:rsidRPr="004A4DB7">
        <w:rPr>
          <w:bCs/>
        </w:rPr>
        <w:t>unentgeltlich</w:t>
      </w:r>
      <w:r w:rsidRPr="00620178">
        <w:rPr>
          <w:bCs/>
        </w:rPr>
        <w:t xml:space="preserve"> im Schulunterricht sowie an Universitäten</w:t>
      </w:r>
      <w:r w:rsidRPr="006B141F">
        <w:t xml:space="preserve"> genutzt</w:t>
      </w:r>
      <w:r>
        <w:t xml:space="preserve"> werden können.“</w:t>
      </w:r>
      <w:r w:rsidRPr="00764D27">
        <w:t xml:space="preserve"> Das ist kein realitätsfremde Forderung</w:t>
      </w:r>
      <w:r>
        <w:t xml:space="preserve">. </w:t>
      </w:r>
      <w:r w:rsidRPr="00764D27">
        <w:t xml:space="preserve">Das </w:t>
      </w:r>
      <w:r>
        <w:t>Zitat stammt aus dem Petitionssaus</w:t>
      </w:r>
      <w:r w:rsidRPr="00764D27">
        <w:t xml:space="preserve">chuss des </w:t>
      </w:r>
      <w:r>
        <w:t xml:space="preserve">Deutschen </w:t>
      </w:r>
      <w:r w:rsidRPr="00764D27">
        <w:t>Bundestags, der einstimmig am 25.2.2015 empfohlen hat</w:t>
      </w:r>
      <w:r>
        <w:rPr>
          <w:rStyle w:val="Funotenzeichen"/>
          <w:rFonts w:ascii="Times" w:eastAsia="Times New Roman" w:hAnsi="Times" w:cs="Times New Roman"/>
          <w:sz w:val="20"/>
          <w:szCs w:val="20"/>
        </w:rPr>
        <w:footnoteReference w:id="35"/>
      </w:r>
      <w:r w:rsidRPr="00764D27">
        <w:t xml:space="preserve">, solche Überlegungen bei der </w:t>
      </w:r>
      <w:r>
        <w:t>Neugestaltung des Urheberrechts</w:t>
      </w:r>
      <w:r w:rsidR="00700E93">
        <w:t xml:space="preserve"> </w:t>
      </w:r>
      <w:r w:rsidRPr="00764D27">
        <w:t xml:space="preserve">mit einzubeziehen. </w:t>
      </w:r>
    </w:p>
    <w:p w14:paraId="20BB22DB" w14:textId="53B0E44F" w:rsidR="00620178" w:rsidRDefault="00620178" w:rsidP="00F84597">
      <w:pPr>
        <w:pStyle w:val="Listenabsatz"/>
      </w:pPr>
      <w:r>
        <w:t xml:space="preserve">Auch </w:t>
      </w:r>
      <w:r w:rsidR="00EC62F1">
        <w:t>Art.</w:t>
      </w:r>
      <w:r>
        <w:t>4, 4 des Vorschlags der EU-Kommission von 2016 schreibt für „</w:t>
      </w:r>
      <w:r>
        <w:rPr>
          <w:noProof/>
        </w:rPr>
        <w:t>digital and cross-border teaching activities“ Vergütung nicht verpflichtend</w:t>
      </w:r>
      <w:r w:rsidR="00EA54F9">
        <w:rPr>
          <w:noProof/>
        </w:rPr>
        <w:t xml:space="preserve"> vor. Es wird nicht von „shall“ </w:t>
      </w:r>
      <w:r>
        <w:rPr>
          <w:noProof/>
        </w:rPr>
        <w:t>gesprochen, sondern</w:t>
      </w:r>
      <w:r w:rsidR="00EA54F9">
        <w:rPr>
          <w:noProof/>
        </w:rPr>
        <w:t xml:space="preserve"> von</w:t>
      </w:r>
      <w:r>
        <w:rPr>
          <w:noProof/>
        </w:rPr>
        <w:t xml:space="preserve"> „</w:t>
      </w:r>
      <w:r w:rsidRPr="00620178">
        <w:rPr>
          <w:i/>
          <w:noProof/>
        </w:rPr>
        <w:t>may</w:t>
      </w:r>
      <w:r>
        <w:rPr>
          <w:noProof/>
        </w:rPr>
        <w:t xml:space="preserve"> provide for fair compensation“. Auch der Vorschlag der EU-Kommission für eine neue Schranke</w:t>
      </w:r>
      <w:r w:rsidR="00700E93">
        <w:rPr>
          <w:noProof/>
        </w:rPr>
        <w:t xml:space="preserve"> </w:t>
      </w:r>
      <w:r>
        <w:rPr>
          <w:noProof/>
        </w:rPr>
        <w:t xml:space="preserve">für Text and Data Mining (TDM) </w:t>
      </w:r>
      <w:r>
        <w:t>sieht keine Entschädigung (Vergütung) vor</w:t>
      </w:r>
      <w:r w:rsidR="004A4DB7">
        <w:t>,</w:t>
      </w:r>
      <w:r>
        <w:t xml:space="preserve"> da der Schaden für die </w:t>
      </w:r>
      <w:r w:rsidR="00B70658">
        <w:t>Rechtsinhaber</w:t>
      </w:r>
      <w:r>
        <w:t xml:space="preserve"> durch TDM-Nutzung minimal sei. (vgl. EG 13). Dieses Argument sollte für die schrankenabhängige Nutzung in Bildung und Wissenschaft allgemein verwendet werden.</w:t>
      </w:r>
    </w:p>
    <w:p w14:paraId="698BBEB3" w14:textId="2FFC659D" w:rsidR="00263B15" w:rsidRDefault="00263B15" w:rsidP="00A04A3A">
      <w:r>
        <w:t xml:space="preserve">Urheberrechtsregulierungen und entsprechende Rechtsprechungen sollten diese Tatsachen berücksichtigen und nicht undifferenziert das Recht auf Vergütung </w:t>
      </w:r>
      <w:r w:rsidR="00EA54F9">
        <w:t>von Nutzungen auf Grund von Schrankenerlaubnisse</w:t>
      </w:r>
      <w:r>
        <w:t xml:space="preserve"> anfordern</w:t>
      </w:r>
      <w:r w:rsidR="00EA54F9">
        <w:t xml:space="preserve">. </w:t>
      </w:r>
      <w:r w:rsidR="00DC40E0">
        <w:t>Im</w:t>
      </w:r>
      <w:r>
        <w:t xml:space="preserve"> Wissenschaftsbereich ist die Währung Reputation, nicht finanzielle Remuneration.</w:t>
      </w:r>
    </w:p>
    <w:p w14:paraId="100D43C0" w14:textId="3E61554F" w:rsidR="002D3E7B" w:rsidRDefault="002D3E7B" w:rsidP="00A04A3A">
      <w:r>
        <w:t>Eine Neuregelung der Vergütung im Wissenschaftsurheberrecht sollte vor allem in der einzurichtenden</w:t>
      </w:r>
      <w:r w:rsidR="00700E93">
        <w:t xml:space="preserve"> </w:t>
      </w:r>
      <w:r>
        <w:t>Allgemeinen Bildungs- und Wissenschaftss</w:t>
      </w:r>
      <w:r w:rsidR="007746F3">
        <w:t xml:space="preserve">chranke (ABWS) bzw. in </w:t>
      </w:r>
      <w:r w:rsidR="007746F3">
        <w:lastRenderedPageBreak/>
        <w:t>vergleichbaren Verbesserungen des Wissenschaftsurheberrecht ihren Niederschla</w:t>
      </w:r>
      <w:r>
        <w:t>g finden.</w:t>
      </w:r>
    </w:p>
    <w:p w14:paraId="311FC0CE" w14:textId="77777777" w:rsidR="00783554" w:rsidRDefault="004D4AD5" w:rsidP="00600DD5">
      <w:pPr>
        <w:pStyle w:val="berschrift1"/>
      </w:pPr>
      <w:bookmarkStart w:id="25" w:name="fazit"/>
      <w:bookmarkEnd w:id="25"/>
      <w:r>
        <w:t>Fazit</w:t>
      </w:r>
    </w:p>
    <w:p w14:paraId="2A346844" w14:textId="77777777" w:rsidR="00C8634D" w:rsidRDefault="00EF5BC4" w:rsidP="00C8634D">
      <w:r w:rsidRPr="00EF5BC4">
        <w:t>Es ist der EU-Kommission trotz einiger positiver Weiterentwicklungen nicht gelungen, einen der gegenwärtigen Praxis der Produktion und Nutzung von Wissen und Information gerecht werdenden Vorschlag oder gar einen in die Zukunft weisenden Paradigmenwechsel für die Urheberrechtsregulierung vorzulegen.</w:t>
      </w:r>
    </w:p>
    <w:p w14:paraId="3790D2D8" w14:textId="77777777" w:rsidR="00C8634D" w:rsidRDefault="00C8634D" w:rsidP="00C8634D">
      <w:r>
        <w:t xml:space="preserve">Der schwerwiegendste Einwand gegen den Vorschlag der EU-Kommission, eine neue Urheberrechtsrichtlinie </w:t>
      </w:r>
      <w:r w:rsidR="00EF5BC4">
        <w:t xml:space="preserve">in der vorgelegten Fassung </w:t>
      </w:r>
      <w:r>
        <w:t xml:space="preserve">auf den Weg zu bringen, besteht darin, dass die EU-Kommission weiter an dem alten Paradigma festhält, dass das Urheberrecht in erster Linie dazu dienen soll, die europäischen Binnenmärkte für Wissen und Information nicht nur funktionsfähig zu halten, sondern </w:t>
      </w:r>
      <w:r w:rsidR="00DC40E0">
        <w:t>ihren</w:t>
      </w:r>
      <w:r>
        <w:t xml:space="preserve"> weiteren Ausbau </w:t>
      </w:r>
      <w:r w:rsidR="00DC40E0">
        <w:rPr>
          <w:rFonts w:eastAsia="Times New Roman" w:cs="Times New Roman"/>
        </w:rPr>
        <w:t xml:space="preserve">durch Festhalten an alten Geschäftsmodellen </w:t>
      </w:r>
      <w:r>
        <w:t xml:space="preserve">zu </w:t>
      </w:r>
      <w:r w:rsidR="00DC40E0">
        <w:t>unterstützen</w:t>
      </w:r>
      <w:r>
        <w:t>.</w:t>
      </w:r>
      <w:r w:rsidR="00B26AC7">
        <w:t xml:space="preserve"> </w:t>
      </w:r>
    </w:p>
    <w:p w14:paraId="49F56FA6" w14:textId="50B3336C" w:rsidR="00C8634D" w:rsidRDefault="00C8634D" w:rsidP="00C63EA4">
      <w:r>
        <w:t>Diese Funktionalisierung des Urheberrechts muss</w:t>
      </w:r>
      <w:r w:rsidR="007746F3">
        <w:t xml:space="preserve">, wie </w:t>
      </w:r>
      <w:r w:rsidR="00EA54F9">
        <w:t>zu Anfang</w:t>
      </w:r>
      <w:r w:rsidR="007746F3">
        <w:t xml:space="preserve"> gesagt</w:t>
      </w:r>
      <w:r w:rsidR="005D68C6">
        <w:t>,</w:t>
      </w:r>
      <w:r>
        <w:t xml:space="preserve"> nicht unbedingt kritisiert werden – aber nur dann nicht, wenn unter „Märkten“ nicht nur die kommerziellen, auf den Schutz proprietärer Eigentumsrechte pochenden Verwertungsformen verstanden würden, sondern auch die offenen, auf freien Zugang zu und freie</w:t>
      </w:r>
      <w:r w:rsidR="00C63EA4" w:rsidRPr="00C63EA4">
        <w:t xml:space="preserve"> </w:t>
      </w:r>
      <w:r>
        <w:t>Nutzung von Wissen und Information setzenden Austauschformen eingeschlossen werden. Letzteres ist allerdings kaum erkennbar.</w:t>
      </w:r>
    </w:p>
    <w:p w14:paraId="67C92292" w14:textId="77777777" w:rsidR="00C8634D" w:rsidRDefault="00C8634D" w:rsidP="00C8634D">
      <w:r>
        <w:t>Ein defensives, auf den Schutz bestehender Geschäftsmodelle für die Verwertung von Wissen und Information setzenden Verständnis von Urheberrecht lag der bis heute noch gültigen Urheberrechtsrichtlinie von 2001 zugrunde. Leider war die EU-Kommission offenbar nicht in der Lage oder auch nicht willens, sich von diesem Verständn</w:t>
      </w:r>
      <w:r w:rsidR="00600DD5">
        <w:t>is zu lösen. Ganz im Gegenteil – weiter steht</w:t>
      </w:r>
      <w:r>
        <w:t xml:space="preserve"> im Vordergrund der Schutz der Rechte der traditionellen Verwertungsunternehmen. Bezeichnend dafür </w:t>
      </w:r>
      <w:r w:rsidR="00E20869">
        <w:t xml:space="preserve">sind u.a. </w:t>
      </w:r>
      <w:r>
        <w:t>die Art. 11 und 12 des Vorschlags der EU-Kommission.</w:t>
      </w:r>
    </w:p>
    <w:p w14:paraId="2A403121" w14:textId="37240715" w:rsidR="00B82D13" w:rsidRDefault="00B82D13" w:rsidP="00B82D13">
      <w:pPr>
        <w:widowControl w:val="0"/>
        <w:autoSpaceDE w:val="0"/>
        <w:autoSpaceDN w:val="0"/>
        <w:adjustRightInd w:val="0"/>
        <w:spacing w:after="240"/>
      </w:pPr>
      <w:r w:rsidRPr="00AA22B8">
        <w:t>Der jetzige Vorschlag für eine Copyright-Richtlinie</w:t>
      </w:r>
      <w:r w:rsidR="00B26AC7">
        <w:t xml:space="preserve"> </w:t>
      </w:r>
      <w:r w:rsidRPr="00AA22B8">
        <w:t xml:space="preserve">muss </w:t>
      </w:r>
      <w:r>
        <w:t xml:space="preserve">jedoch </w:t>
      </w:r>
      <w:r w:rsidRPr="00AA22B8">
        <w:t>nicht das letzt</w:t>
      </w:r>
      <w:r>
        <w:t>e</w:t>
      </w:r>
      <w:r w:rsidRPr="00AA22B8">
        <w:t xml:space="preserve"> Wort der EU sein. EU-Parlament und EU-Rat müssen dem Vorhaben zustimmen. Vor allem das Parlament, das sich trotz mannigfacher Einschränkungen dann doch de</w:t>
      </w:r>
      <w:r>
        <w:t>n</w:t>
      </w:r>
      <w:r w:rsidRPr="00AA22B8">
        <w:t xml:space="preserve"> Reda-Vorschlag zu eigen gemacht hat</w:t>
      </w:r>
      <w:r w:rsidR="00620178">
        <w:rPr>
          <w:rStyle w:val="Funotenzeichen"/>
        </w:rPr>
        <w:footnoteReference w:id="36"/>
      </w:r>
      <w:r w:rsidRPr="00AA22B8">
        <w:t xml:space="preserve"> wird hoffentlich nicht einknicken. Es sollte, wie im Reda-Bericht gefordert, ein offeneres, zeitgemäßes, den digitalen Rahmenbedingungen Rechnung tragendes Urheberrecht einfordern.</w:t>
      </w:r>
      <w:r w:rsidR="00455BF9">
        <w:t xml:space="preserve"> </w:t>
      </w:r>
    </w:p>
    <w:p w14:paraId="09810EDE" w14:textId="239E49D4" w:rsidR="00455BF9" w:rsidRPr="00AA22B8" w:rsidRDefault="00455BF9" w:rsidP="00B82D13">
      <w:pPr>
        <w:widowControl w:val="0"/>
        <w:autoSpaceDE w:val="0"/>
        <w:autoSpaceDN w:val="0"/>
        <w:adjustRightInd w:val="0"/>
        <w:spacing w:after="240"/>
      </w:pPr>
      <w:r>
        <w:t>In dem Verfahren ist vorgesehen, dass zunächst die einschlägigen Kommitees des EU-Parlaments zu dem Entwurf des EU-Kommission Stellung nehmen. Für das jetzige Vorhaben ist federführend das JURI-Committee (Legal affairs), begleitend/beratend aber auch INTA (</w:t>
      </w:r>
      <w:r w:rsidRPr="00D17F43">
        <w:fldChar w:fldCharType="begin"/>
      </w:r>
      <w:r w:rsidRPr="00D17F43">
        <w:instrText xml:space="preserve"> HYPERLINK "http://www.europarl.europa.eu/committees/en/inta/home.html" \o "International Trade" \t "_blank" </w:instrText>
      </w:r>
      <w:r w:rsidRPr="00D17F43">
        <w:fldChar w:fldCharType="separate"/>
      </w:r>
      <w:r w:rsidRPr="00D17F43">
        <w:t>International Trade</w:t>
      </w:r>
      <w:r w:rsidRPr="00D17F43">
        <w:fldChar w:fldCharType="end"/>
      </w:r>
      <w:r w:rsidRPr="00D17F43">
        <w:t>), ITRE (</w:t>
      </w:r>
      <w:r w:rsidRPr="00D17F43">
        <w:fldChar w:fldCharType="begin"/>
      </w:r>
      <w:r w:rsidRPr="00D17F43">
        <w:instrText xml:space="preserve"> HYPERLINK "http://www.europarl.europa.eu/committees/en/itre/home.html" \o "Industry, Research and Energy" \t "_blank" </w:instrText>
      </w:r>
      <w:r w:rsidRPr="00D17F43">
        <w:fldChar w:fldCharType="separate"/>
      </w:r>
      <w:r w:rsidRPr="00D17F43">
        <w:t>Industry, Research and Energy</w:t>
      </w:r>
      <w:r w:rsidRPr="00D17F43">
        <w:fldChar w:fldCharType="end"/>
      </w:r>
      <w:r w:rsidRPr="00D17F43">
        <w:t>), IMCO (</w:t>
      </w:r>
      <w:r w:rsidRPr="00D17F43">
        <w:fldChar w:fldCharType="begin"/>
      </w:r>
      <w:r w:rsidRPr="00D17F43">
        <w:instrText xml:space="preserve"> HYPERLINK "http://www.europarl.europa.eu/committees/en/imco/home.html" \o "Internal Market and Consumer Protection" \t "_blank" </w:instrText>
      </w:r>
      <w:r w:rsidRPr="00D17F43">
        <w:fldChar w:fldCharType="separate"/>
      </w:r>
      <w:r w:rsidRPr="00D17F43">
        <w:t>Internal Market and Consumer Protection</w:t>
      </w:r>
      <w:r w:rsidRPr="00D17F43">
        <w:fldChar w:fldCharType="end"/>
      </w:r>
      <w:r w:rsidRPr="00D17F43">
        <w:t>) und CULT (</w:t>
      </w:r>
      <w:r w:rsidRPr="00D17F43">
        <w:fldChar w:fldCharType="begin"/>
      </w:r>
      <w:r w:rsidRPr="00D17F43">
        <w:instrText xml:space="preserve"> HYPERLINK "http://www.europarl.europa.eu/committees/en/cult/home.html" \o "Culture and Education" \t "_blank" </w:instrText>
      </w:r>
      <w:r w:rsidRPr="00D17F43">
        <w:fldChar w:fldCharType="separate"/>
      </w:r>
      <w:r w:rsidRPr="00D17F43">
        <w:t>Culture and Education</w:t>
      </w:r>
      <w:r w:rsidRPr="00D17F43">
        <w:fldChar w:fldCharType="end"/>
      </w:r>
      <w:r w:rsidRPr="00D17F43">
        <w:t xml:space="preserve">). Für die Beratungen der Komitees können im Prinzip von jedermann sogenannte </w:t>
      </w:r>
      <w:r w:rsidR="00D17F43" w:rsidRPr="00EA54F9">
        <w:rPr>
          <w:i/>
        </w:rPr>
        <w:t>Draft opions</w:t>
      </w:r>
      <w:r w:rsidR="00D17F43" w:rsidRPr="00D17F43">
        <w:t xml:space="preserve"> </w:t>
      </w:r>
      <w:r w:rsidR="00D17F43" w:rsidRPr="00D17F43">
        <w:lastRenderedPageBreak/>
        <w:t>eingereicht werden</w:t>
      </w:r>
      <w:r w:rsidR="00D17F43">
        <w:rPr>
          <w:rStyle w:val="Funotenzeichen"/>
          <w:rFonts w:eastAsia="Times New Roman" w:cs="Times New Roman"/>
        </w:rPr>
        <w:footnoteReference w:id="37"/>
      </w:r>
      <w:r w:rsidR="00D17F43">
        <w:t>.</w:t>
      </w:r>
    </w:p>
    <w:p w14:paraId="7BA97CA7" w14:textId="46D2C85E" w:rsidR="00EB2D2C" w:rsidRDefault="00B82D13" w:rsidP="00B82D13">
      <w:pPr>
        <w:widowControl w:val="0"/>
        <w:autoSpaceDE w:val="0"/>
        <w:autoSpaceDN w:val="0"/>
        <w:adjustRightInd w:val="0"/>
        <w:spacing w:after="240"/>
      </w:pPr>
      <w:r w:rsidRPr="00AA22B8">
        <w:t xml:space="preserve">Auch </w:t>
      </w:r>
      <w:r>
        <w:t xml:space="preserve">der </w:t>
      </w:r>
      <w:r w:rsidRPr="00AA22B8">
        <w:t xml:space="preserve">EU-Rat, das Ensemble der Chefs der nationalen Regierungen, kann </w:t>
      </w:r>
      <w:r>
        <w:t xml:space="preserve">und sollte </w:t>
      </w:r>
      <w:r w:rsidRPr="00AA22B8">
        <w:t xml:space="preserve">mehr </w:t>
      </w:r>
      <w:r>
        <w:t>verlangen</w:t>
      </w:r>
      <w:r w:rsidRPr="00AA22B8">
        <w:t>, als die EU-Kommission nun vorgelegt hat. Immerhin hat sich der Rat Mitte Mai 2016 einem Konzept für ein „open science system“ angeschlossen</w:t>
      </w:r>
      <w:r w:rsidR="00620178">
        <w:rPr>
          <w:rStyle w:val="Funotenzeichen"/>
        </w:rPr>
        <w:footnoteReference w:id="38"/>
      </w:r>
      <w:r w:rsidR="00620178">
        <w:t xml:space="preserve">, </w:t>
      </w:r>
      <w:r w:rsidRPr="00AA22B8">
        <w:t>das, anlä</w:t>
      </w:r>
      <w:r>
        <w:t>ss</w:t>
      </w:r>
      <w:r w:rsidRPr="00AA22B8">
        <w:t>lich der aktuellen niederländischen EU-Rats-Präsidentschaft, im A</w:t>
      </w:r>
      <w:r w:rsidR="00620178">
        <w:t>pril 2016 auf einer Konferenz „O</w:t>
      </w:r>
      <w:r w:rsidRPr="00AA22B8">
        <w:t xml:space="preserve">n Open Science – From Vision to Action“ erarbeitet und verabschiedet wurde. </w:t>
      </w:r>
    </w:p>
    <w:p w14:paraId="301FFF51" w14:textId="77777777" w:rsidR="001516B6" w:rsidRDefault="00B82D13" w:rsidP="00B82D13">
      <w:pPr>
        <w:pStyle w:val="Listenabsatz"/>
        <w:widowControl w:val="0"/>
        <w:numPr>
          <w:ilvl w:val="0"/>
          <w:numId w:val="12"/>
        </w:numPr>
        <w:autoSpaceDE w:val="0"/>
        <w:autoSpaceDN w:val="0"/>
        <w:adjustRightInd w:val="0"/>
        <w:spacing w:after="240"/>
      </w:pPr>
      <w:r w:rsidRPr="00AA22B8">
        <w:t xml:space="preserve">Das Engagement der beiden niederländischen Präsidenten im EU-Rat, Henk Kamp und Sander Dekker </w:t>
      </w:r>
      <w:r>
        <w:t>für</w:t>
      </w:r>
      <w:r w:rsidRPr="00AA22B8">
        <w:t xml:space="preserve"> Open Science zeigt deutlich, wie stark nationale Initiativen auf die EU-Politik einwirken können. </w:t>
      </w:r>
    </w:p>
    <w:p w14:paraId="56928896" w14:textId="77777777" w:rsidR="00657EB4" w:rsidRDefault="00B82D13" w:rsidP="008704F1">
      <w:pPr>
        <w:pStyle w:val="Listenabsatz"/>
        <w:widowControl w:val="0"/>
        <w:numPr>
          <w:ilvl w:val="0"/>
          <w:numId w:val="12"/>
        </w:numPr>
        <w:autoSpaceDE w:val="0"/>
        <w:autoSpaceDN w:val="0"/>
        <w:adjustRightInd w:val="0"/>
        <w:spacing w:after="240"/>
      </w:pPr>
      <w:r w:rsidRPr="00AA22B8">
        <w:t xml:space="preserve">Auch dem </w:t>
      </w:r>
      <w:r>
        <w:t>Vorschlag für</w:t>
      </w:r>
      <w:r w:rsidRPr="00AA22B8">
        <w:t xml:space="preserve"> TDM </w:t>
      </w:r>
      <w:r>
        <w:t xml:space="preserve">im vorliegenden Kommissionsentwurf </w:t>
      </w:r>
      <w:r w:rsidRPr="00AA22B8">
        <w:t xml:space="preserve">ist die Verabschiedung einer entsprechenden Schrankenbestimmung im UK-Copyright von Juni 2014 vorangegangen. </w:t>
      </w:r>
      <w:r>
        <w:t>H</w:t>
      </w:r>
      <w:r w:rsidRPr="00AA22B8">
        <w:t xml:space="preserve">ier hat sich </w:t>
      </w:r>
      <w:r>
        <w:t>Großbritannien erneut</w:t>
      </w:r>
      <w:r w:rsidR="00B26AC7">
        <w:t xml:space="preserve"> </w:t>
      </w:r>
      <w:r w:rsidRPr="00AA22B8">
        <w:t>nicht gescheut, entgegen der immer noch gültigen InfoSoc-Richtlinie von 2001, eine ganz neue Schrankenbestimmung zu verabschieden.</w:t>
      </w:r>
      <w:r w:rsidR="0072518D">
        <w:t xml:space="preserve"> </w:t>
      </w:r>
    </w:p>
    <w:p w14:paraId="4E8ECB3E" w14:textId="4CF6AA5A" w:rsidR="00B82D13" w:rsidRDefault="0072518D" w:rsidP="008704F1">
      <w:pPr>
        <w:pStyle w:val="Listenabsatz"/>
        <w:widowControl w:val="0"/>
        <w:numPr>
          <w:ilvl w:val="0"/>
          <w:numId w:val="12"/>
        </w:numPr>
        <w:autoSpaceDE w:val="0"/>
        <w:autoSpaceDN w:val="0"/>
        <w:adjustRightInd w:val="0"/>
        <w:spacing w:after="240"/>
      </w:pPr>
      <w:r>
        <w:t>Auch die deutsche Regelung für die vergriffenen Werke (in Ergänzung zu der zu den verwaisten Werken) hat v</w:t>
      </w:r>
      <w:r w:rsidR="00465F0D">
        <w:t xml:space="preserve">ermutlich für die EU-Kommission </w:t>
      </w:r>
      <w:r>
        <w:t>einen wichtigen Anstoß gegeben – was sich</w:t>
      </w:r>
      <w:r w:rsidR="00EB2D2C">
        <w:t xml:space="preserve"> in den </w:t>
      </w:r>
      <w:r w:rsidR="00EC62F1">
        <w:t>Art.</w:t>
      </w:r>
      <w:r w:rsidR="005D68C6">
        <w:t xml:space="preserve"> </w:t>
      </w:r>
      <w:r w:rsidR="00EB2D2C">
        <w:t>7 und 8 niedergesch</w:t>
      </w:r>
      <w:r>
        <w:t>lagen hat.</w:t>
      </w:r>
    </w:p>
    <w:p w14:paraId="78C773AF" w14:textId="180F13CC" w:rsidR="002D3E7B" w:rsidRDefault="002D3E7B" w:rsidP="002D3E7B">
      <w:r>
        <w:t>Es ist zu hoffen und wird nicht zuletzt aus der Sicht von Bildung und Wissenschaft erwartet, dass die EU-Kommission nach den Beratungen im Parlament und entsprechend aktueller Entwicklungen</w:t>
      </w:r>
      <w:r w:rsidR="00700E93">
        <w:t xml:space="preserve"> </w:t>
      </w:r>
      <w:r>
        <w:t>und Wünschen in den Mitgliedsländern sich entschließt, einen neuen Vorschlag für eine Urheberrechts-Richtlinie vorzulegen, der dem neuen Paradigma einer offenen und freien Nutzung von Wissen und Information besser Rechnung trägt, ohne dabei die innovative Weiterentwicklung der kommerziellen Informationswirtschaft zu behindern oder gar auszuschließen.</w:t>
      </w:r>
      <w:r w:rsidR="007746F3">
        <w:t xml:space="preserve"> Es ist allerdings kaum zu erwarten, dass die politische Meinungsbildungsprozess in der EU noch im Jahr 2017 abgeschlossen sein wird.</w:t>
      </w:r>
    </w:p>
    <w:p w14:paraId="1AF2E299" w14:textId="5335867C" w:rsidR="00657EB4" w:rsidRDefault="009512AD" w:rsidP="00F13C02">
      <w:r>
        <w:t>Auf die aktuellen Bemühungen in Deutschland, das Urheberrecht, vor allem mit Blick auf das Wissenschaftsurheberrecht, an die stark veränderten technologischen, ökonomischen und informationsethischen Rahmenbedingungen des Umgangs mit Wissen und Information anzupassen, wird in einem zweiten Beitrag näher eingegangen. Hier stand lange die Auseinandersetzung um eine Allgemeine Bildungs- und Wissenschaftsschranke (ABWS) im Vordergrund. Diese Forderung steht nach wie vor im Raum, obgleich der Ende 2016 öffentlich gemacht Vorschlag des BMJV keine ABWS vorsieht, sondern acht neue Schrankenregelungen vorsieht, durch die die gravierendsten Probleme bei den bisherigen Schrankenregelungen (vor allem in den §§ 52a, 52b und 53a) gelöst werden sollen.</w:t>
      </w:r>
      <w:r w:rsidR="00D7351C">
        <w:t xml:space="preserve"> Dieser derzeit heftig diskutierte Vorschlag beruht noch auf den derzeit gültigen unionsrechtlichen Vorgaben, konnte bzw. wollte noch nicht die zum Teil weitergehenden Vorhaben der EU-Kommission (vgl. Kap. 1) </w:t>
      </w:r>
      <w:r w:rsidR="00D7351C">
        <w:lastRenderedPageBreak/>
        <w:t>berücksichtigen.</w:t>
      </w:r>
      <w:r w:rsidR="00D7351C" w:rsidRPr="00AA22B8">
        <w:t xml:space="preserve"> </w:t>
      </w:r>
      <w:r w:rsidR="007719BF">
        <w:t xml:space="preserve"> Auch hier ist es offen, ob über diese Initiative noch in dieser Legislaturperiode im Bundestag abschließend beraten werden kann. </w:t>
      </w:r>
    </w:p>
    <w:p w14:paraId="3C819B74" w14:textId="4BCF114A" w:rsidR="007719BF" w:rsidRPr="00AA22B8" w:rsidRDefault="007719BF" w:rsidP="00F13C02">
      <w:r>
        <w:t>Mit einem zugleich weinenden und lachenden Auge kann daher nicht ausgeschlossen werden, dass ab 2018 sowohl in der EU als auch in Deut</w:t>
      </w:r>
      <w:r w:rsidR="00121EDD">
        <w:t>s</w:t>
      </w:r>
      <w:r>
        <w:t>chland die Karten ganz neu gemischt werden.</w:t>
      </w:r>
    </w:p>
    <w:sectPr w:rsidR="007719BF" w:rsidRPr="00AA22B8" w:rsidSect="00921F65">
      <w:headerReference w:type="even" r:id="rId9"/>
      <w:headerReference w:type="default" r:id="rId10"/>
      <w:footerReference w:type="default" r:id="rId11"/>
      <w:pgSz w:w="11900" w:h="16840"/>
      <w:pgMar w:top="1418" w:right="1417" w:bottom="1418"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8DAE22" w15:done="0"/>
  <w15:commentEx w15:paraId="1AD6AF3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D7127" w14:textId="77777777" w:rsidR="002B006B" w:rsidRDefault="002B006B" w:rsidP="00600DD5">
      <w:pPr>
        <w:spacing w:before="0" w:after="0"/>
      </w:pPr>
      <w:r>
        <w:separator/>
      </w:r>
    </w:p>
  </w:endnote>
  <w:endnote w:type="continuationSeparator" w:id="0">
    <w:p w14:paraId="37BA1796" w14:textId="77777777" w:rsidR="002B006B" w:rsidRDefault="002B006B" w:rsidP="00600D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4B45" w14:textId="1E339FD9" w:rsidR="002B006B" w:rsidRDefault="00812CA9" w:rsidP="00921F65">
    <w:pPr>
      <w:pStyle w:val="Fuzeile"/>
      <w:jc w:val="center"/>
    </w:pPr>
    <w:sdt>
      <w:sdtPr>
        <w:id w:val="313691907"/>
        <w:docPartObj>
          <w:docPartGallery w:val="Page Numbers (Bottom of Page)"/>
          <w:docPartUnique/>
        </w:docPartObj>
      </w:sdtPr>
      <w:sdtEndPr/>
      <w:sdtContent>
        <w:r w:rsidR="002B006B" w:rsidRPr="00921F65">
          <w:rPr>
            <w:sz w:val="22"/>
          </w:rPr>
          <w:fldChar w:fldCharType="begin"/>
        </w:r>
        <w:r w:rsidR="002B006B" w:rsidRPr="00921F65">
          <w:rPr>
            <w:sz w:val="22"/>
          </w:rPr>
          <w:instrText xml:space="preserve"> PAGE   \* MERGEFORMAT </w:instrText>
        </w:r>
        <w:r w:rsidR="002B006B" w:rsidRPr="00921F65">
          <w:rPr>
            <w:sz w:val="22"/>
          </w:rPr>
          <w:fldChar w:fldCharType="separate"/>
        </w:r>
        <w:r>
          <w:rPr>
            <w:noProof/>
            <w:sz w:val="22"/>
          </w:rPr>
          <w:t>24</w:t>
        </w:r>
        <w:r w:rsidR="002B006B" w:rsidRPr="00921F65">
          <w:rPr>
            <w:sz w:val="22"/>
          </w:rPr>
          <w:fldChar w:fldCharType="end"/>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BC818" w14:textId="77777777" w:rsidR="002B006B" w:rsidRDefault="002B006B" w:rsidP="00600DD5">
      <w:pPr>
        <w:spacing w:before="0" w:after="0"/>
      </w:pPr>
      <w:r>
        <w:separator/>
      </w:r>
    </w:p>
  </w:footnote>
  <w:footnote w:type="continuationSeparator" w:id="0">
    <w:p w14:paraId="691177A0" w14:textId="77777777" w:rsidR="002B006B" w:rsidRDefault="002B006B" w:rsidP="00600DD5">
      <w:pPr>
        <w:spacing w:before="0" w:after="0"/>
      </w:pPr>
      <w:r>
        <w:continuationSeparator/>
      </w:r>
    </w:p>
  </w:footnote>
  <w:footnote w:id="1">
    <w:p w14:paraId="36A78B56" w14:textId="4B7F844F" w:rsidR="002B006B" w:rsidRDefault="002B006B">
      <w:pPr>
        <w:pStyle w:val="Funotentext"/>
      </w:pPr>
      <w:r>
        <w:rPr>
          <w:rStyle w:val="Funotenzeichen"/>
        </w:rPr>
        <w:footnoteRef/>
      </w:r>
      <w:r>
        <w:t xml:space="preserve"> Als dieser Beitrag geschrieben wurde, lag noch keine authorisierte deutsche Fassung vor. Es wird daher hier in erster Linie aus der (allgemein auch als prioritär angesehenen) englischen Fassung zitiert: </w:t>
      </w:r>
      <w:hyperlink r:id="rId1" w:history="1">
        <w:r w:rsidRPr="006B722F">
          <w:t>http://ec.europa.eu/newsroom/dae/document.cfm?doc_id=17200</w:t>
        </w:r>
      </w:hyperlink>
      <w:r>
        <w:t xml:space="preserve">. Alle Sprachversionen des Vorschlags jetzt unter: </w:t>
      </w:r>
      <w:r w:rsidRPr="00633483">
        <w:t>http://eur-lex.europa.eu/legal-content/EN/TXT/?uri=CELEX:52016PC0593</w:t>
      </w:r>
      <w:r>
        <w:t>.</w:t>
      </w:r>
    </w:p>
  </w:footnote>
  <w:footnote w:id="2">
    <w:p w14:paraId="52FBBACD" w14:textId="25EB81E7" w:rsidR="002B006B" w:rsidRDefault="002B006B">
      <w:pPr>
        <w:pStyle w:val="Funotentext"/>
      </w:pPr>
      <w:r>
        <w:rPr>
          <w:rStyle w:val="Funotenzeichen"/>
        </w:rPr>
        <w:footnoteRef/>
      </w:r>
      <w:r>
        <w:t xml:space="preserve"> </w:t>
      </w:r>
      <w:r w:rsidRPr="002274E8">
        <w:t>Directive 2001/29/EC of the European Parliament and of the Council of 22 May 2001 on the</w:t>
      </w:r>
      <w:r>
        <w:t xml:space="preserve"> </w:t>
      </w:r>
      <w:r w:rsidRPr="002274E8">
        <w:t>harmonisation of certain aspects of copyright and related rights in the information society (OJ L 167, 22.6.2001, p. 10–19).</w:t>
      </w:r>
    </w:p>
  </w:footnote>
  <w:footnote w:id="3">
    <w:p w14:paraId="7E00E12E" w14:textId="79AF0634" w:rsidR="002B006B" w:rsidRDefault="002B006B" w:rsidP="00FC02E2">
      <w:r>
        <w:rPr>
          <w:rStyle w:val="Funotenzeichen"/>
        </w:rPr>
        <w:footnoteRef/>
      </w:r>
      <w:r>
        <w:t xml:space="preserve"> </w:t>
      </w:r>
      <w:r w:rsidRPr="00FC02E2">
        <w:rPr>
          <w:rStyle w:val="FunotentextZeichen"/>
        </w:rPr>
        <w:t>Vgl. Mireille van Eechoud: P. Bernt Hugenholtz; Stef van Gompel; Lucie Guibault; Natali Helberger: Harmonizing European Copyright Law. The Challenges of Better Lawmaking. Information Law Series. Vol. 19. Kluwer Law International 2009</w:t>
      </w:r>
      <w:r>
        <w:rPr>
          <w:rStyle w:val="FunotentextZeichen"/>
        </w:rPr>
        <w:t xml:space="preserve"> – </w:t>
      </w:r>
      <w:r w:rsidRPr="00FC02E2">
        <w:rPr>
          <w:rStyle w:val="FunotentextZeichen"/>
        </w:rPr>
        <w:t>http://www.ivir.nl/publicaties/download/967.pdf.</w:t>
      </w:r>
    </w:p>
  </w:footnote>
  <w:footnote w:id="4">
    <w:p w14:paraId="3AE322E7" w14:textId="34A65859" w:rsidR="002B006B" w:rsidRPr="00DE3454" w:rsidRDefault="002B006B" w:rsidP="008F1DF2">
      <w:pPr>
        <w:widowControl w:val="0"/>
        <w:tabs>
          <w:tab w:val="left" w:pos="220"/>
          <w:tab w:val="left" w:pos="720"/>
        </w:tabs>
        <w:autoSpaceDE w:val="0"/>
        <w:autoSpaceDN w:val="0"/>
        <w:adjustRightInd w:val="0"/>
        <w:spacing w:before="0" w:beforeAutospacing="0" w:after="240" w:afterAutospacing="0"/>
        <w:rPr>
          <w:sz w:val="22"/>
          <w:szCs w:val="22"/>
        </w:rPr>
      </w:pPr>
      <w:r>
        <w:rPr>
          <w:rStyle w:val="Funotenzeichen"/>
        </w:rPr>
        <w:footnoteRef/>
      </w:r>
      <w:r>
        <w:t xml:space="preserve"> </w:t>
      </w:r>
      <w:r w:rsidRPr="007D33D6">
        <w:rPr>
          <w:rStyle w:val="FunotentextZeichen"/>
        </w:rPr>
        <w:t>Im Englische</w:t>
      </w:r>
      <w:r>
        <w:rPr>
          <w:rStyle w:val="FunotentextZeichen"/>
        </w:rPr>
        <w:t>n werden die Einschränkungen der</w:t>
      </w:r>
      <w:r w:rsidRPr="007D33D6">
        <w:rPr>
          <w:rStyle w:val="FunotentextZeichen"/>
        </w:rPr>
        <w:t xml:space="preserve"> exklusiven Rechte der Rechtsinhaber „exception</w:t>
      </w:r>
      <w:r>
        <w:rPr>
          <w:rStyle w:val="FunotentextZeichen"/>
        </w:rPr>
        <w:t>s</w:t>
      </w:r>
      <w:r w:rsidRPr="007D33D6">
        <w:rPr>
          <w:rStyle w:val="FunotentextZeichen"/>
        </w:rPr>
        <w:t>“ oder „limitations“ genannt (oft auch beides zusammen). Ich bevorzuge die Verwendung von „limitation</w:t>
      </w:r>
      <w:r>
        <w:rPr>
          <w:rStyle w:val="FunotentextZeichen"/>
        </w:rPr>
        <w:t>s</w:t>
      </w:r>
      <w:r w:rsidRPr="007D33D6">
        <w:rPr>
          <w:rStyle w:val="FunotentextZeichen"/>
        </w:rPr>
        <w:t xml:space="preserve">“. Einschränkungen sollten </w:t>
      </w:r>
      <w:r>
        <w:rPr>
          <w:rStyle w:val="FunotentextZeichen"/>
        </w:rPr>
        <w:t>nicht als</w:t>
      </w:r>
      <w:r w:rsidRPr="007D33D6">
        <w:rPr>
          <w:rStyle w:val="FunotentextZeichen"/>
        </w:rPr>
        <w:t xml:space="preserve"> A</w:t>
      </w:r>
      <w:r w:rsidRPr="007D33D6">
        <w:rPr>
          <w:rStyle w:val="FunotentextZeichen"/>
          <w:i/>
        </w:rPr>
        <w:t>usnahmen</w:t>
      </w:r>
      <w:r w:rsidRPr="007D33D6">
        <w:rPr>
          <w:rStyle w:val="FunotentextZeichen"/>
        </w:rPr>
        <w:t xml:space="preserve"> </w:t>
      </w:r>
      <w:r>
        <w:rPr>
          <w:rStyle w:val="FunotentextZeichen"/>
        </w:rPr>
        <w:t>verstanden werden</w:t>
      </w:r>
      <w:r w:rsidRPr="007D33D6">
        <w:rPr>
          <w:rStyle w:val="FunotentextZeichen"/>
        </w:rPr>
        <w:t xml:space="preserve">; vielmehr sind sie im Urheberrecht ausdrücklich als im </w:t>
      </w:r>
      <w:r>
        <w:rPr>
          <w:rStyle w:val="FunotentextZeichen"/>
        </w:rPr>
        <w:t>öffentlichen Interesse stehende</w:t>
      </w:r>
      <w:r w:rsidRPr="007D33D6">
        <w:rPr>
          <w:rStyle w:val="FunotentextZeichen"/>
        </w:rPr>
        <w:t xml:space="preserve"> Begrenzungen (</w:t>
      </w:r>
      <w:r w:rsidRPr="007D33D6">
        <w:rPr>
          <w:rStyle w:val="FunotentextZeichen"/>
          <w:i/>
        </w:rPr>
        <w:t>limitations</w:t>
      </w:r>
      <w:r w:rsidRPr="007D33D6">
        <w:rPr>
          <w:rStyle w:val="FunotentextZeichen"/>
        </w:rPr>
        <w:t>) der Rechte der Rechtsinhabe</w:t>
      </w:r>
      <w:r>
        <w:rPr>
          <w:rStyle w:val="FunotentextZeichen"/>
        </w:rPr>
        <w:t>r</w:t>
      </w:r>
      <w:r w:rsidRPr="007D33D6">
        <w:rPr>
          <w:rStyle w:val="FunotentextZeichen"/>
        </w:rPr>
        <w:t xml:space="preserve"> vorgesehen. Sie sind systematischer Bestandteil des Urheber</w:t>
      </w:r>
      <w:r>
        <w:rPr>
          <w:rStyle w:val="FunotentextZeichen"/>
        </w:rPr>
        <w:t>rechts</w:t>
      </w:r>
      <w:r w:rsidRPr="007D33D6">
        <w:rPr>
          <w:rStyle w:val="FunotentextZeichen"/>
        </w:rPr>
        <w:t xml:space="preserve">. In Deutschland wird im Allgemeinen von </w:t>
      </w:r>
      <w:r w:rsidRPr="007D33D6">
        <w:rPr>
          <w:rStyle w:val="FunotentextZeichen"/>
          <w:i/>
        </w:rPr>
        <w:t>Schranken</w:t>
      </w:r>
      <w:r w:rsidRPr="007D33D6">
        <w:rPr>
          <w:rStyle w:val="FunotentextZeichen"/>
        </w:rPr>
        <w:t xml:space="preserve"> bzw. </w:t>
      </w:r>
      <w:r w:rsidRPr="007D33D6">
        <w:rPr>
          <w:rStyle w:val="FunotentextZeichen"/>
          <w:i/>
        </w:rPr>
        <w:t>Schrankenbestimmungen</w:t>
      </w:r>
      <w:r w:rsidRPr="007D33D6">
        <w:rPr>
          <w:rStyle w:val="FunotentextZeichen"/>
        </w:rPr>
        <w:t xml:space="preserve"> gesprochen. Auch das ist keine glückliche Benennung. Schranken sollen gerade die Nutzung im öffentlichen Interesse teilweise frei, wenn auch nicht unbedingt vergütungsfrei machen. Sie sollten nicht als ärgerliche Einschränkungen der exklusiven Verwertungs-/Nutzungsrechten verstanden werden. Erfreulicherweise verwendet </w:t>
      </w:r>
      <w:r>
        <w:rPr>
          <w:rStyle w:val="FunotentextZeichen"/>
        </w:rPr>
        <w:t xml:space="preserve">in Deutschland </w:t>
      </w:r>
      <w:r w:rsidRPr="007D33D6">
        <w:rPr>
          <w:rStyle w:val="FunotentextZeichen"/>
        </w:rPr>
        <w:t>das BMJV in seinem aktuellen Referentenentwurf für ein Wissenschaftsurheberrecht anstelle von „Schranken“ die Formulierung „Gesetzlich erlaubte Nutzungen für Unterricht, Wissenschaft und Institutionen“</w:t>
      </w:r>
      <w:r>
        <w:rPr>
          <w:rStyle w:val="FunotentextZeichen"/>
        </w:rPr>
        <w:t xml:space="preserve"> </w:t>
      </w:r>
      <w:r>
        <w:rPr>
          <w:rStyle w:val="FunotentextZeichen"/>
        </w:rPr>
        <w:softHyphen/>
        <w:t xml:space="preserve">– </w:t>
      </w:r>
      <w:hyperlink r:id="rId2" w:history="1">
        <w:r w:rsidRPr="006B722F">
          <w:rPr>
            <w:rStyle w:val="FunotentextZeichen"/>
          </w:rPr>
          <w:t>https://www.bmjv.de/SharedDocs/Gesetzgebungsverfahren/Dokumente/RefE_UrhWissG.pdf</w:t>
        </w:r>
      </w:hyperlink>
      <w:r>
        <w:rPr>
          <w:rStyle w:val="FunotentextZeichen"/>
        </w:rPr>
        <w:t>.</w:t>
      </w:r>
    </w:p>
  </w:footnote>
  <w:footnote w:id="5">
    <w:p w14:paraId="389406BD" w14:textId="2B41B86A" w:rsidR="002B006B" w:rsidRDefault="002B006B">
      <w:pPr>
        <w:pStyle w:val="Funotentext"/>
      </w:pPr>
      <w:r>
        <w:rPr>
          <w:rStyle w:val="Funotenzeichen"/>
        </w:rPr>
        <w:footnoteRef/>
      </w:r>
      <w:r>
        <w:t xml:space="preserve"> </w:t>
      </w:r>
      <w:r w:rsidRPr="003A3AC5">
        <w:t>http://ec.europa.eu/internal_market/copyright/docs/copyright-infso/greenpaper_en.pdf</w:t>
      </w:r>
      <w:r>
        <w:t>.</w:t>
      </w:r>
    </w:p>
  </w:footnote>
  <w:footnote w:id="6">
    <w:p w14:paraId="6865783A" w14:textId="4D98FE5B" w:rsidR="002B006B" w:rsidRDefault="002B006B">
      <w:pPr>
        <w:pStyle w:val="Funotentext"/>
      </w:pPr>
      <w:r>
        <w:rPr>
          <w:rStyle w:val="Funotenzeichen"/>
        </w:rPr>
        <w:footnoteRef/>
      </w:r>
      <w:r>
        <w:t xml:space="preserve"> </w:t>
      </w:r>
      <w:r w:rsidRPr="00317323">
        <w:rPr>
          <w:bCs/>
        </w:rPr>
        <w:t>Report on the responses to the Public Consultation on the Review of the EU Copyright Rules.</w:t>
      </w:r>
      <w:r>
        <w:rPr>
          <w:bCs/>
        </w:rPr>
        <w:t xml:space="preserve"> </w:t>
      </w:r>
      <w:r w:rsidRPr="00317323">
        <w:rPr>
          <w:bCs/>
        </w:rPr>
        <w:t>July 2014</w:t>
      </w:r>
      <w:r>
        <w:rPr>
          <w:bCs/>
        </w:rPr>
        <w:t xml:space="preserve"> – </w:t>
      </w:r>
      <w:r w:rsidRPr="003A3AC5">
        <w:t>http://ec.europa.eu/internal_market/consultations/2013/copyright-rules/docs/contributions/consultation-report_en.pdf</w:t>
      </w:r>
      <w:r>
        <w:t>.</w:t>
      </w:r>
    </w:p>
  </w:footnote>
  <w:footnote w:id="7">
    <w:p w14:paraId="50243B4C" w14:textId="334B9EC5" w:rsidR="002B006B" w:rsidRDefault="002B006B" w:rsidP="00391069">
      <w:r>
        <w:rPr>
          <w:rStyle w:val="Funotenzeichen"/>
        </w:rPr>
        <w:footnoteRef/>
      </w:r>
      <w:r>
        <w:t xml:space="preserve"> </w:t>
      </w:r>
      <w:hyperlink r:id="rId3" w:history="1">
        <w:r w:rsidRPr="00391069">
          <w:rPr>
            <w:rStyle w:val="FunotentextZeichen"/>
          </w:rPr>
          <w:t>http://www.europarl.europa.eu/sides/getDoc.do?type=TA&amp;reference=P8-TA-2015-0273&amp;language=EN</w:t>
        </w:r>
      </w:hyperlink>
      <w:r>
        <w:rPr>
          <w:rStyle w:val="FunotentextZeichen"/>
        </w:rPr>
        <w:t>.</w:t>
      </w:r>
    </w:p>
  </w:footnote>
  <w:footnote w:id="8">
    <w:p w14:paraId="0B40C334" w14:textId="707D4B09" w:rsidR="002B006B" w:rsidRDefault="002B006B" w:rsidP="00700E93">
      <w:pPr>
        <w:pStyle w:val="berschrift1"/>
        <w:numPr>
          <w:ilvl w:val="0"/>
          <w:numId w:val="0"/>
        </w:numPr>
      </w:pPr>
      <w:r w:rsidRPr="00700E93">
        <w:rPr>
          <w:rStyle w:val="Funotenzeichen"/>
          <w:rFonts w:asciiTheme="minorHAnsi" w:eastAsiaTheme="minorEastAsia" w:hAnsiTheme="minorHAnsi" w:cstheme="minorBidi"/>
          <w:b w:val="0"/>
          <w:bCs w:val="0"/>
          <w:szCs w:val="24"/>
        </w:rPr>
        <w:footnoteRef/>
      </w:r>
      <w:r w:rsidRPr="00700E93">
        <w:rPr>
          <w:rStyle w:val="Funotenzeichen"/>
          <w:szCs w:val="24"/>
        </w:rPr>
        <w:t xml:space="preserve"> </w:t>
      </w:r>
      <w:r w:rsidRPr="00F8106B">
        <w:rPr>
          <w:rStyle w:val="FunotentextZeichen"/>
          <w:rFonts w:ascii="Cambria" w:hAnsi="Cambria"/>
          <w:b w:val="0"/>
        </w:rPr>
        <w:t>European Parliament resolution of 9 July 2015 on the implementation of Directive 2001/29/EC of the European Parliament and of the Council of 22 May 2001 on the harmonisation of certain aspects of copyright and related rights in the information society“</w:t>
      </w:r>
      <w:r>
        <w:rPr>
          <w:rStyle w:val="FunotentextZeichen"/>
          <w:rFonts w:ascii="Cambria" w:hAnsi="Cambria"/>
          <w:b w:val="0"/>
        </w:rPr>
        <w:t>;</w:t>
      </w:r>
      <w:r w:rsidRPr="00F8106B">
        <w:rPr>
          <w:rStyle w:val="FunotentextZeichen"/>
          <w:rFonts w:ascii="Cambria" w:hAnsi="Cambria"/>
          <w:b w:val="0"/>
        </w:rPr>
        <w:t xml:space="preserve"> ursprüngliche Version: </w:t>
      </w:r>
      <w:hyperlink r:id="rId4" w:history="1">
        <w:r w:rsidRPr="00F8106B">
          <w:rPr>
            <w:rStyle w:val="FunotentextZeichen"/>
            <w:rFonts w:ascii="Cambria" w:hAnsi="Cambria"/>
            <w:b w:val="0"/>
          </w:rPr>
          <w:t>https://juliareda.eu/copyright-evaluation-report-explained/</w:t>
        </w:r>
      </w:hyperlink>
      <w:r w:rsidRPr="00F8106B">
        <w:rPr>
          <w:rStyle w:val="FunotentextZeichen"/>
          <w:rFonts w:ascii="Cambria" w:hAnsi="Cambria"/>
          <w:b w:val="0"/>
        </w:rPr>
        <w:t xml:space="preserve">; die endgültige unter: </w:t>
      </w:r>
      <w:hyperlink r:id="rId5" w:history="1">
        <w:r w:rsidRPr="00F8106B">
          <w:rPr>
            <w:rStyle w:val="FunotentextZeichen"/>
            <w:rFonts w:ascii="Cambria" w:hAnsi="Cambria"/>
            <w:b w:val="0"/>
          </w:rPr>
          <w:t>https://juliareda.eu/copyright-evaluation-report/full/</w:t>
        </w:r>
      </w:hyperlink>
      <w:r w:rsidRPr="00F8106B">
        <w:rPr>
          <w:rStyle w:val="FunotentextZeichen"/>
          <w:rFonts w:ascii="Cambria" w:hAnsi="Cambria"/>
          <w:b w:val="0"/>
        </w:rPr>
        <w:t>; vgl. dazu Rainer Kuhlen: Kopernikanische Wende in der EU-Urheberrechtsdebatte? Die Politik in Deutschland sollte das nutzen. Netzpolitik. Org 21.1.2015 - https://netzpolitik.org/2015/kopernikanische-wende-in-der-eu-urheberrechtsdebatte-die-politik-in-deutschland-sollte-das-nutzen/.</w:t>
      </w:r>
    </w:p>
  </w:footnote>
  <w:footnote w:id="9">
    <w:p w14:paraId="0F7C9606" w14:textId="6B5AEBA1" w:rsidR="002B006B" w:rsidRDefault="002B006B">
      <w:pPr>
        <w:pStyle w:val="Funotentext"/>
      </w:pPr>
      <w:r>
        <w:rPr>
          <w:rStyle w:val="Funotenzeichen"/>
        </w:rPr>
        <w:footnoteRef/>
      </w:r>
      <w:r>
        <w:t xml:space="preserve"> Vgl. Rainer Kuhlen: </w:t>
      </w:r>
      <w:r>
        <w:rPr>
          <w:rFonts w:eastAsia="Times New Roman" w:cs="Times New Roman"/>
        </w:rPr>
        <w:t xml:space="preserve">Interdependenzen zwischen Informationsethik und politischem Handeln – am Beispiel einer kontroversen Urheberrechtsregulierung (Zweitverwertungsrecht). In: Zeitschrift für Politikwissenschaft (ZPol), Sonderband Ethik und Politikmanagement, 2014,193-221,  Preprint: </w:t>
      </w:r>
      <w:r w:rsidRPr="008124E8">
        <w:rPr>
          <w:rFonts w:eastAsia="Times New Roman" w:cs="Times New Roman"/>
        </w:rPr>
        <w:t>http://www.kuhlen.name/MATERIALIEN/Publikationen2014/interdependenzen-informationsethik-urheberrecht-PDF.pdf</w:t>
      </w:r>
      <w:r>
        <w:rPr>
          <w:rFonts w:eastAsia="Times New Roman" w:cs="Times New Roman"/>
        </w:rPr>
        <w:t>.</w:t>
      </w:r>
    </w:p>
  </w:footnote>
  <w:footnote w:id="10">
    <w:p w14:paraId="1D09D6E5" w14:textId="1AAC6A8D" w:rsidR="002B006B" w:rsidRDefault="002B006B" w:rsidP="00877993">
      <w:r>
        <w:rPr>
          <w:rStyle w:val="Funotenzeichen"/>
        </w:rPr>
        <w:footnoteRef/>
      </w:r>
      <w:r>
        <w:t xml:space="preserve"> </w:t>
      </w:r>
      <w:r w:rsidRPr="002B006B">
        <w:rPr>
          <w:rStyle w:val="FunotentextZeichen"/>
        </w:rPr>
        <w:t xml:space="preserve">Art 11 schlägt ein neues Leistungsschutzrecht für Presseverleger vor (vgl. Abschnitt </w:t>
      </w:r>
      <w:r w:rsidRPr="002B006B">
        <w:rPr>
          <w:rStyle w:val="FunotentextZeichen"/>
        </w:rPr>
        <w:fldChar w:fldCharType="begin"/>
      </w:r>
      <w:r w:rsidRPr="002B006B">
        <w:rPr>
          <w:rStyle w:val="FunotentextZeichen"/>
        </w:rPr>
        <w:instrText xml:space="preserve"> REF _Ref349293268 \r \h </w:instrText>
      </w:r>
      <w:r w:rsidRPr="002B006B">
        <w:rPr>
          <w:rStyle w:val="FunotentextZeichen"/>
        </w:rPr>
      </w:r>
      <w:r w:rsidRPr="002B006B">
        <w:rPr>
          <w:rStyle w:val="FunotentextZeichen"/>
        </w:rPr>
        <w:fldChar w:fldCharType="separate"/>
      </w:r>
      <w:r w:rsidRPr="002B006B">
        <w:rPr>
          <w:rStyle w:val="FunotentextZeichen"/>
        </w:rPr>
        <w:t>2.4</w:t>
      </w:r>
      <w:r w:rsidRPr="002B006B">
        <w:rPr>
          <w:rStyle w:val="FunotentextZeichen"/>
        </w:rPr>
        <w:fldChar w:fldCharType="end"/>
      </w:r>
      <w:r w:rsidRPr="002B006B">
        <w:rPr>
          <w:rStyle w:val="FunotentextZeichen"/>
        </w:rPr>
        <w:t xml:space="preserve">); durch Art. 12 soll der Verlegeranteil an Vergütung für  schrankenbezogene Nutzungen gesichert werden (vgl. Absachnitt </w:t>
      </w:r>
      <w:r w:rsidRPr="002B006B">
        <w:rPr>
          <w:rStyle w:val="FunotentextZeichen"/>
        </w:rPr>
        <w:fldChar w:fldCharType="begin"/>
      </w:r>
      <w:r w:rsidRPr="002B006B">
        <w:rPr>
          <w:rStyle w:val="FunotentextZeichen"/>
        </w:rPr>
        <w:instrText xml:space="preserve"> REF _Ref349751701 \r \h </w:instrText>
      </w:r>
      <w:r w:rsidRPr="002B006B">
        <w:rPr>
          <w:rStyle w:val="FunotentextZeichen"/>
        </w:rPr>
      </w:r>
      <w:r w:rsidRPr="002B006B">
        <w:rPr>
          <w:rStyle w:val="FunotentextZeichen"/>
        </w:rPr>
        <w:fldChar w:fldCharType="separate"/>
      </w:r>
      <w:r w:rsidRPr="002B006B">
        <w:rPr>
          <w:rStyle w:val="FunotentextZeichen"/>
        </w:rPr>
        <w:t>2.5</w:t>
      </w:r>
      <w:r w:rsidRPr="002B006B">
        <w:rPr>
          <w:rStyle w:val="FunotentextZeichen"/>
        </w:rPr>
        <w:fldChar w:fldCharType="end"/>
      </w:r>
      <w:r w:rsidRPr="002B006B">
        <w:rPr>
          <w:rStyle w:val="FunotentextZeichen"/>
        </w:rPr>
        <w:t>) und durch Art. 13 soll durch eine Änderung der Commerce Directive (2000/31/EC) die Verantwortlichkeit bzw. die Haftung für nutzergenerierte Inhalte zwischen den Rechtsinhabern und Service Provider geteilt werden. Vor allem die Artikel 11 und 13 sollten nach Einschätzung vieler Wissenschaftler besser ganz gestrichen werden, vor allem weil sie sich als innovationsfeindlich erweisen würden. (vgl. z.B. http://copyright4creativity.eu/2017/02/24/imco-opinion-on-copyright-in-the-digital-single-market-things-are-looking-better-but-the-devil-is-still-in-the-details/).</w:t>
      </w:r>
    </w:p>
  </w:footnote>
  <w:footnote w:id="11">
    <w:p w14:paraId="17C7E9A5" w14:textId="60EFAF84" w:rsidR="002B006B" w:rsidRDefault="002B006B">
      <w:pPr>
        <w:pStyle w:val="Funotentext"/>
      </w:pPr>
      <w:r>
        <w:rPr>
          <w:rStyle w:val="Funotenzeichen"/>
        </w:rPr>
        <w:footnoteRef/>
      </w:r>
      <w:r>
        <w:t xml:space="preserve"> </w:t>
      </w:r>
      <w:r w:rsidRPr="00700E93">
        <w:t>Rainer Kuhlen: Informationsmarkt. Chancen und Risiken der Kommerzialisierung von Wissen. Schriften zur Informationswissenschaft Vol. 15. Universitätsverlag Konstanz (UVK), Konstanz 1995. Kap. 1 Von den zwei Informationsmärkten der Ökonomie und der Wissenschaft, S. 3ff</w:t>
      </w:r>
      <w:r>
        <w:t>.</w:t>
      </w:r>
    </w:p>
  </w:footnote>
  <w:footnote w:id="12">
    <w:p w14:paraId="27CB49AF" w14:textId="37C1387E" w:rsidR="002B006B" w:rsidRDefault="002B006B">
      <w:pPr>
        <w:pStyle w:val="Funotentext"/>
      </w:pPr>
      <w:r>
        <w:rPr>
          <w:rStyle w:val="Funotenzeichen"/>
        </w:rPr>
        <w:footnoteRef/>
      </w:r>
      <w:r>
        <w:t xml:space="preserve"> Erwägungsgründe (EG) sind Erläuterungen zu den einzelnen Artikeln von Gesetzen oder Richtlinien. Sie sind nicht Teil des rechtlich verbindlichen Textes der Artikel. Sie werden aber i.d.R. bei Streitfällen vor Gerichten verwendet, um die Absicht des Gesetzgebers zu verstehen und dieser i.d.R. auch zu folgen.</w:t>
      </w:r>
    </w:p>
  </w:footnote>
  <w:footnote w:id="13">
    <w:p w14:paraId="287CB748" w14:textId="7F3BADAD" w:rsidR="002B006B" w:rsidRPr="00921F65" w:rsidRDefault="002B006B">
      <w:pPr>
        <w:pStyle w:val="Funotentext"/>
        <w:rPr>
          <w:lang w:val="en-GB"/>
        </w:rPr>
      </w:pPr>
      <w:r>
        <w:rPr>
          <w:rStyle w:val="Funotenzeichen"/>
        </w:rPr>
        <w:footnoteRef/>
      </w:r>
      <w:r w:rsidRPr="00921F65">
        <w:rPr>
          <w:lang w:val="en-GB"/>
        </w:rPr>
        <w:t xml:space="preserve"> „In the fields of research, education and preservation of cultural heritage, digital technologies permit new types of uses that are not clearly covered by the current Union rules on exceptions and limitations. ... Therefore, the existing exceptions and limitations in Union law that are relevant for scientific research, teaching and preservation of cultural heritage should be reassessed in the light of those new uses.“ (</w:t>
      </w:r>
      <w:r>
        <w:rPr>
          <w:lang w:val="en-GB"/>
        </w:rPr>
        <w:t>Vorschlag der Kommission</w:t>
      </w:r>
      <w:r w:rsidRPr="00921F65">
        <w:rPr>
          <w:lang w:val="en-GB"/>
        </w:rPr>
        <w:t>, Erwägungsgrund 5)</w:t>
      </w:r>
      <w:r>
        <w:rPr>
          <w:lang w:val="en-GB"/>
        </w:rPr>
        <w:t>.</w:t>
      </w:r>
    </w:p>
  </w:footnote>
  <w:footnote w:id="14">
    <w:p w14:paraId="61A467F9" w14:textId="4026FB0F" w:rsidR="002B006B" w:rsidRDefault="002B006B" w:rsidP="00E25AFC">
      <w:pPr>
        <w:pStyle w:val="Funotentext"/>
      </w:pPr>
      <w:r>
        <w:rPr>
          <w:rStyle w:val="Funotenzeichen"/>
        </w:rPr>
        <w:footnoteRef/>
      </w:r>
      <w:r>
        <w:t xml:space="preserve"> </w:t>
      </w:r>
      <w:r w:rsidRPr="00E328F2">
        <w:t>Vgl. https://www.gov.uk/government/uploads/system/uploads/attachment_data/file/375954/Res</w:t>
      </w:r>
      <w:r>
        <w:t>e</w:t>
      </w:r>
      <w:r w:rsidRPr="00E328F2">
        <w:t>arch.pdf</w:t>
      </w:r>
      <w:r>
        <w:t>.</w:t>
      </w:r>
    </w:p>
  </w:footnote>
  <w:footnote w:id="15">
    <w:p w14:paraId="003B2DF6" w14:textId="2F2DE806" w:rsidR="002B006B" w:rsidRPr="00E328F2" w:rsidRDefault="002B006B" w:rsidP="00E328F2">
      <w:pPr>
        <w:rPr>
          <w:rStyle w:val="FunotentextZeichen"/>
        </w:rPr>
      </w:pPr>
      <w:r>
        <w:rPr>
          <w:rStyle w:val="Funotenzeichen"/>
        </w:rPr>
        <w:footnoteRef/>
      </w:r>
      <w:r>
        <w:t xml:space="preserve"> </w:t>
      </w:r>
      <w:r w:rsidRPr="00E328F2">
        <w:rPr>
          <w:rStyle w:val="FunotentextZeichen"/>
        </w:rPr>
        <w:t>Vgl. EDiMA, the European association representing European and global online platforms and other innovative tech companies operating in the EU:  „Maintaining that facts and ideas be protected by copyright goes against international legal standards as copyright protection does not extend to factual information about a work. Any copying in the context of TDM is incidental“ and does not result in any unreasonably harm to the legitimate interests of the copyright holder – http://edima-eu.org/pdfs/latest_news/EDIMA%20copyright%20leave%20behind%20final%20wout%20ES%20reference.pdf.</w:t>
      </w:r>
    </w:p>
  </w:footnote>
  <w:footnote w:id="16">
    <w:p w14:paraId="53900718" w14:textId="618163B9" w:rsidR="002B006B" w:rsidRPr="00921F65" w:rsidRDefault="002B006B" w:rsidP="00F845DF">
      <w:pPr>
        <w:widowControl w:val="0"/>
        <w:tabs>
          <w:tab w:val="left" w:pos="220"/>
          <w:tab w:val="left" w:pos="284"/>
        </w:tabs>
        <w:autoSpaceDE w:val="0"/>
        <w:autoSpaceDN w:val="0"/>
        <w:adjustRightInd w:val="0"/>
        <w:spacing w:before="0" w:beforeAutospacing="0" w:after="240" w:afterAutospacing="0"/>
        <w:rPr>
          <w:lang w:val="en-GB"/>
        </w:rPr>
      </w:pPr>
      <w:r>
        <w:rPr>
          <w:rStyle w:val="Funotenzeichen"/>
        </w:rPr>
        <w:footnoteRef/>
      </w:r>
      <w:r w:rsidRPr="00921F65">
        <w:rPr>
          <w:lang w:val="en-GB"/>
        </w:rPr>
        <w:t xml:space="preserve"> </w:t>
      </w:r>
      <w:r w:rsidRPr="00921F65">
        <w:rPr>
          <w:rStyle w:val="FunotentextZeichen"/>
          <w:lang w:val="en-GB"/>
        </w:rPr>
        <w:t xml:space="preserve">Forschungsorganisationen werden </w:t>
      </w:r>
      <w:r>
        <w:rPr>
          <w:rStyle w:val="FunotentextZeichen"/>
          <w:lang w:val="en-GB"/>
        </w:rPr>
        <w:t>im EU-Vorschlag</w:t>
      </w:r>
      <w:r>
        <w:t xml:space="preserve"> </w:t>
      </w:r>
      <w:r>
        <w:rPr>
          <w:rStyle w:val="FunotentextZeichen"/>
          <w:lang w:val="en-GB"/>
        </w:rPr>
        <w:t>Art.</w:t>
      </w:r>
      <w:r w:rsidRPr="00921F65">
        <w:rPr>
          <w:rStyle w:val="FunotentextZeichen"/>
          <w:lang w:val="en-GB"/>
        </w:rPr>
        <w:t xml:space="preserve">2, 1 wie folgt definiert: „‘research organisation’ means a university, a research institute or any other organisation the primary goal of which is to conduct scientific research or to conduct scientific research and provide educational services: </w:t>
      </w:r>
      <w:r w:rsidRPr="00921F65">
        <w:rPr>
          <w:rStyle w:val="FunotentextZeichen"/>
          <w:lang w:val="en-GB"/>
        </w:rPr>
        <w:br/>
        <w:t xml:space="preserve">(a) on a non-for-profit basis or by reinvesting all the profits </w:t>
      </w:r>
      <w:r>
        <w:rPr>
          <w:rStyle w:val="FunotentextZeichen"/>
          <w:lang w:val="en-GB"/>
        </w:rPr>
        <w:t xml:space="preserve">in its scientific research; or </w:t>
      </w:r>
      <w:r w:rsidRPr="00921F65">
        <w:rPr>
          <w:rStyle w:val="FunotentextZeichen"/>
          <w:lang w:val="en-GB"/>
        </w:rPr>
        <w:br/>
        <w:t>(b) pursuant to a public interest mission</w:t>
      </w:r>
      <w:r>
        <w:rPr>
          <w:rStyle w:val="FunotentextZeichen"/>
          <w:lang w:val="en-GB"/>
        </w:rPr>
        <w:t xml:space="preserve"> recognised by a Member State; </w:t>
      </w:r>
      <w:r w:rsidRPr="00921F65">
        <w:rPr>
          <w:rStyle w:val="FunotentextZeichen"/>
          <w:lang w:val="en-GB"/>
        </w:rPr>
        <w:br/>
        <w:t>in such a way that the access to the results generated by the scientific research cannot be enjoyed on a preferential basis by an undertaking exercising a decisive i</w:t>
      </w:r>
      <w:r>
        <w:rPr>
          <w:rStyle w:val="FunotentextZeichen"/>
          <w:lang w:val="en-GB"/>
        </w:rPr>
        <w:t>nfluence upon such organisation</w:t>
      </w:r>
      <w:r w:rsidRPr="00921F65">
        <w:rPr>
          <w:rStyle w:val="FunotentextZeichen"/>
          <w:lang w:val="en-GB"/>
        </w:rPr>
        <w:t>“</w:t>
      </w:r>
      <w:r>
        <w:rPr>
          <w:rStyle w:val="FunotentextZeichen"/>
          <w:lang w:val="en-GB"/>
        </w:rPr>
        <w:t>.</w:t>
      </w:r>
    </w:p>
  </w:footnote>
  <w:footnote w:id="17">
    <w:p w14:paraId="3AAE7E04" w14:textId="3740672D" w:rsidR="002B006B" w:rsidRDefault="002B006B" w:rsidP="00022A5D">
      <w:pPr>
        <w:pStyle w:val="Funotentext"/>
      </w:pPr>
      <w:r>
        <w:rPr>
          <w:rStyle w:val="Funotenzeichen"/>
        </w:rPr>
        <w:footnoteRef/>
      </w:r>
      <w:r>
        <w:t xml:space="preserve"> BDI (</w:t>
      </w:r>
      <w:r w:rsidRPr="00491AF1">
        <w:t>Spitzenorganisation der deutschen Industrie und der industrtrienahen Dienstleister</w:t>
      </w:r>
      <w:r>
        <w:t>) –</w:t>
      </w:r>
      <w:r w:rsidRPr="00491AF1">
        <w:t>https://www.bmjv.de/SharedDocs/Gesetzgebungsverfahren/Stellungnahmen/2016/Downloads/11112016_Stellungnahme_BDI_EU-Urheberrechtsreform.pdf?__blob=publicationFile&amp;v=2</w:t>
      </w:r>
      <w:r>
        <w:t>.</w:t>
      </w:r>
    </w:p>
  </w:footnote>
  <w:footnote w:id="18">
    <w:p w14:paraId="576CF790" w14:textId="7AC557EC" w:rsidR="002B006B" w:rsidRPr="00921F65" w:rsidRDefault="002B006B" w:rsidP="00520B10">
      <w:pPr>
        <w:pStyle w:val="Funotentext"/>
        <w:rPr>
          <w:lang w:val="en-GB"/>
        </w:rPr>
      </w:pPr>
      <w:r>
        <w:rPr>
          <w:rStyle w:val="Funotenzeichen"/>
        </w:rPr>
        <w:footnoteRef/>
      </w:r>
      <w:r w:rsidRPr="00921F65">
        <w:rPr>
          <w:lang w:val="en-GB"/>
        </w:rPr>
        <w:t xml:space="preserve"> </w:t>
      </w:r>
      <w:hyperlink r:id="rId6" w:history="1">
        <w:r w:rsidRPr="00496D17">
          <w:t>http://www.wipo.int/wipolex/en/treaties/text.jsp?file_id=301019</w:t>
        </w:r>
      </w:hyperlink>
      <w:r w:rsidRPr="00496D17">
        <w:t>.</w:t>
      </w:r>
    </w:p>
  </w:footnote>
  <w:footnote w:id="19">
    <w:p w14:paraId="6392E813" w14:textId="675D20EF" w:rsidR="002B006B" w:rsidRDefault="002B006B">
      <w:pPr>
        <w:pStyle w:val="Funotentext"/>
      </w:pPr>
      <w:r>
        <w:rPr>
          <w:rStyle w:val="Funotenzeichen"/>
        </w:rPr>
        <w:footnoteRef/>
      </w:r>
      <w:r>
        <w:t xml:space="preserve"> </w:t>
      </w:r>
      <w:hyperlink r:id="rId7" w:history="1">
        <w:r w:rsidRPr="00496D17">
          <w:t>http://bit.ly/2cCqD8m</w:t>
        </w:r>
      </w:hyperlink>
      <w:r>
        <w:t>.</w:t>
      </w:r>
    </w:p>
  </w:footnote>
  <w:footnote w:id="20">
    <w:p w14:paraId="58D42E3B" w14:textId="0F50F724" w:rsidR="002B006B" w:rsidRDefault="002B006B">
      <w:pPr>
        <w:pStyle w:val="Funotentext"/>
      </w:pPr>
      <w:r>
        <w:rPr>
          <w:rStyle w:val="Funotenzeichen"/>
        </w:rPr>
        <w:footnoteRef/>
      </w:r>
      <w:r>
        <w:t xml:space="preserve"> Ausführlich dazu: Rainer Kuhlen: De revolutionibus orbium retiariorum – Besser mit dem Netz als suchen nach dem Matching-Paradigma – zur Legitimierung verwaister Werke – </w:t>
      </w:r>
      <w:r w:rsidRPr="00C5038E">
        <w:t>http://netethics.net/netethicsblog/index.html%3Fp=476.html</w:t>
      </w:r>
      <w:r>
        <w:t>.</w:t>
      </w:r>
    </w:p>
  </w:footnote>
  <w:footnote w:id="21">
    <w:p w14:paraId="1A8329AB" w14:textId="57E3E9F1" w:rsidR="002B006B" w:rsidRDefault="002B006B" w:rsidP="001C1FE6">
      <w:pPr>
        <w:pStyle w:val="Funotentext"/>
      </w:pPr>
      <w:r>
        <w:rPr>
          <w:rStyle w:val="Funotenzeichen"/>
        </w:rPr>
        <w:footnoteRef/>
      </w:r>
      <w:r>
        <w:t xml:space="preserve"> Stellungnahme des Deutschen Bibliotheksverbandes (dbv): Entwurf der EU-Richtlinie zum Urheberrecht im digitalen Binnenmarkt vom 14.9.2016 (RL-E (COM (2016)593 final),  zu Art. 7, S. 9ff – </w:t>
      </w:r>
      <w:r w:rsidRPr="001C1FE6">
        <w:t>http://www.bibliotheksverband.de/fileadmin/user_upload/DBV/positionen/2016_10_28_dbv-Stellungnahme_EU-RL_Urheberrecht.pdf</w:t>
      </w:r>
      <w:r>
        <w:t>.</w:t>
      </w:r>
    </w:p>
  </w:footnote>
  <w:footnote w:id="22">
    <w:p w14:paraId="0C9D0073" w14:textId="6DEBBB9E" w:rsidR="002B006B" w:rsidRDefault="002B006B">
      <w:pPr>
        <w:pStyle w:val="Funotentext"/>
      </w:pPr>
      <w:r>
        <w:rPr>
          <w:rStyle w:val="Funotenzeichen"/>
        </w:rPr>
        <w:footnoteRef/>
      </w:r>
      <w:r>
        <w:t xml:space="preserve"> V</w:t>
      </w:r>
      <w:r>
        <w:rPr>
          <w:rFonts w:eastAsia="Times New Roman" w:cs="Times New Roman"/>
        </w:rPr>
        <w:t>orabentscheidung des EuGH im Fall C 174/15 (Vereniging Openbare Bibliotheken v Stichting Leenrecht); v</w:t>
      </w:r>
      <w:r>
        <w:t xml:space="preserve">gl. </w:t>
      </w:r>
      <w:r w:rsidRPr="00963A86">
        <w:t>https://irights.info/artikel/eugh-openbare-bibliotheken-e-lending/28165</w:t>
      </w:r>
      <w:r>
        <w:t>.</w:t>
      </w:r>
    </w:p>
  </w:footnote>
  <w:footnote w:id="23">
    <w:p w14:paraId="2F9DAEB8" w14:textId="323B5FB7" w:rsidR="002B006B" w:rsidRDefault="002B006B">
      <w:pPr>
        <w:pStyle w:val="Funotentext"/>
      </w:pPr>
      <w:r>
        <w:rPr>
          <w:rStyle w:val="Funotenzeichen"/>
        </w:rPr>
        <w:footnoteRef/>
      </w:r>
      <w:r>
        <w:t xml:space="preserve"> „</w:t>
      </w:r>
      <w:r>
        <w:rPr>
          <w:rStyle w:val="Betont"/>
          <w:rFonts w:eastAsia="Times New Roman" w:cs="Times New Roman"/>
          <w:b w:val="0"/>
        </w:rPr>
        <w:t xml:space="preserve">Bestandsakzessorietät“ bedeutet, dass weitere Ausleihvorgänge ausgesetzt werden, solange eine Ausleihe noch aktiv ist </w:t>
      </w:r>
      <w:r>
        <w:rPr>
          <w:rStyle w:val="Betont"/>
          <w:rFonts w:eastAsia="Times New Roman" w:cs="Times New Roman"/>
          <w:b w:val="0"/>
        </w:rPr>
        <w:softHyphen/>
        <w:t xml:space="preserve">bzw. dass nur so viele Ausleihen simultan vorgenommen werden können, wie es die jeweiligen Verlagsverträge vorsehen. </w:t>
      </w:r>
    </w:p>
  </w:footnote>
  <w:footnote w:id="24">
    <w:p w14:paraId="3EF8995E" w14:textId="7BF16F3D" w:rsidR="002B006B" w:rsidRPr="00405A2E" w:rsidRDefault="002B006B">
      <w:pPr>
        <w:pStyle w:val="Funotentext"/>
      </w:pPr>
      <w:r>
        <w:rPr>
          <w:rStyle w:val="Funotenzeichen"/>
        </w:rPr>
        <w:footnoteRef/>
      </w:r>
      <w:r>
        <w:t xml:space="preserve"> </w:t>
      </w:r>
      <w:r w:rsidRPr="00405A2E">
        <w:t xml:space="preserve">Vgl. </w:t>
      </w:r>
      <w:r>
        <w:t>die Beiträge des Autors</w:t>
      </w:r>
      <w:r w:rsidRPr="00405A2E">
        <w:t>: Wie umfassend soll / darf / muss sie sein, die allgemeine Bildungs- und Wissenschaftsschranke? </w:t>
      </w:r>
      <w:hyperlink r:id="rId8" w:history="1">
        <w:r w:rsidRPr="00405A2E">
          <w:t>Zeitschrift fuer Geistiges Eigentum / Intellectual Property Journal</w:t>
        </w:r>
      </w:hyperlink>
      <w:r w:rsidRPr="00405A2E">
        <w:t xml:space="preserve">, Volume 7, 2015, Number 1, pp. 77-125; Die Allgemeine Bildungs- und Wissenschaftsschranke im Urheberrecht nimmt Fahrt auf - Kreativität und Innovation werden die Gewinner sein. Information. Wissenschaft &amp; Praxis 2016; 67(1): 1–9; </w:t>
      </w:r>
      <w:r w:rsidRPr="00405A2E">
        <w:rPr>
          <w:rFonts w:eastAsia="Times New Roman" w:cs="Times New Roman"/>
          <w:bCs/>
        </w:rPr>
        <w:t xml:space="preserve">Der Heizer soll nicht auf der e-Lok bleiben - Die Allgemeine Bildungs- und Wissenschaftsschranke ist nötig und möglich. </w:t>
      </w:r>
      <w:r w:rsidRPr="00405A2E">
        <w:rPr>
          <w:rFonts w:eastAsia="Times New Roman" w:cs="Times New Roman"/>
        </w:rPr>
        <w:t>Zeitschrift für Urheber- und Medienrecht (ZUM) 6/2016, 507-513</w:t>
      </w:r>
      <w:r>
        <w:rPr>
          <w:rFonts w:eastAsia="Times New Roman" w:cs="Times New Roman"/>
        </w:rPr>
        <w:t>.</w:t>
      </w:r>
    </w:p>
  </w:footnote>
  <w:footnote w:id="25">
    <w:p w14:paraId="4868B278" w14:textId="55FF0D0D" w:rsidR="002B006B" w:rsidRDefault="002B006B" w:rsidP="00606F90">
      <w:r>
        <w:rPr>
          <w:rStyle w:val="Funotenzeichen"/>
        </w:rPr>
        <w:footnoteRef/>
      </w:r>
      <w:r>
        <w:t xml:space="preserve"> </w:t>
      </w:r>
      <w:r w:rsidRPr="00E54E01">
        <w:rPr>
          <w:rStyle w:val="FunotentextZeichen"/>
        </w:rPr>
        <w:t>Vgl. Eine ausgewogene Auslegung des Drei-Stufen-Tests im Urheberrecht (deutsche Übersetzung der „Declaration on a balanced interpretation of the „Three -StepTest“ in Copyright Law“) – http://www.ip.mpg.de/fileadmin/ipmpg/content/forschung_aktuell/01_balanced/declaration_three_step_test_final_deutsch1.pdf</w:t>
      </w:r>
      <w:r>
        <w:rPr>
          <w:rStyle w:val="FunotentextZeichen"/>
        </w:rPr>
        <w:t>.</w:t>
      </w:r>
    </w:p>
  </w:footnote>
  <w:footnote w:id="26">
    <w:p w14:paraId="6C5883BB" w14:textId="54D771DC" w:rsidR="002B006B" w:rsidRDefault="002B006B" w:rsidP="00606F90">
      <w:pPr>
        <w:pStyle w:val="Funotentext"/>
      </w:pPr>
      <w:r>
        <w:rPr>
          <w:rStyle w:val="Funotenzeichen"/>
        </w:rPr>
        <w:footnoteRef/>
      </w:r>
      <w:r>
        <w:t xml:space="preserve"> Konkrete Vorschläge liegen in Deutschland vor u.a. vom Aktionsbündnis „Urheberrecht für Bildung und Wissenschaft“ </w:t>
      </w:r>
      <w:r>
        <w:br/>
      </w:r>
      <w:r w:rsidRPr="004A4DB7">
        <w:t>http://www.urheberrechtsbuendnis.de/abws-text-2014-12.html.de</w:t>
      </w:r>
      <w:r>
        <w:t xml:space="preserve"> sowie , im Auftrag des deutschen Forschungsministeriums, von Prof. Dr. Katharina de la Durantye </w:t>
      </w:r>
      <w:r>
        <w:br/>
      </w:r>
      <w:r w:rsidRPr="004A4DB7">
        <w:t>http://durantaye.rewi.hu/doc/Wissenschaftsschranke.pdf</w:t>
      </w:r>
      <w:r>
        <w:t>.</w:t>
      </w:r>
    </w:p>
  </w:footnote>
  <w:footnote w:id="27">
    <w:p w14:paraId="610A6CBA" w14:textId="3BDBA8C4" w:rsidR="002B006B" w:rsidRDefault="002B006B">
      <w:pPr>
        <w:pStyle w:val="Funotentext"/>
      </w:pPr>
      <w:r>
        <w:rPr>
          <w:rStyle w:val="Funotenzeichen"/>
        </w:rPr>
        <w:footnoteRef/>
      </w:r>
      <w:r>
        <w:t xml:space="preserve"> </w:t>
      </w:r>
      <w:r w:rsidRPr="0040679E">
        <w:t>http://www.iposgoode.ca/wp-content/uploads/2016/12/IPOModernisingIPProfResponsePressPublishers.pdf</w:t>
      </w:r>
      <w:r>
        <w:t>.</w:t>
      </w:r>
    </w:p>
  </w:footnote>
  <w:footnote w:id="28">
    <w:p w14:paraId="0AAD5231" w14:textId="74E64B01" w:rsidR="002B006B" w:rsidRDefault="002B006B">
      <w:pPr>
        <w:pStyle w:val="Funotentext"/>
      </w:pPr>
      <w:r>
        <w:rPr>
          <w:rStyle w:val="Funotenzeichen"/>
        </w:rPr>
        <w:footnoteRef/>
      </w:r>
      <w:r>
        <w:t xml:space="preserve"> </w:t>
      </w:r>
      <w:r w:rsidRPr="00491AF1">
        <w:t>https://www.bmjv.de/SharedDocs/Gesetzgebungsverfahren/Stellungnahmen/2016/Downloads/11112016_Stellungnahme_BDI_EU-Urheberrechtsreform.pdf?__blob=publicationFile&amp;v=2</w:t>
      </w:r>
      <w:r>
        <w:t>.</w:t>
      </w:r>
    </w:p>
  </w:footnote>
  <w:footnote w:id="29">
    <w:p w14:paraId="02690192" w14:textId="1322A09C" w:rsidR="002B006B" w:rsidRDefault="002B006B">
      <w:pPr>
        <w:pStyle w:val="Funotentext"/>
      </w:pPr>
      <w:r>
        <w:rPr>
          <w:rStyle w:val="Funotenzeichen"/>
        </w:rPr>
        <w:footnoteRef/>
      </w:r>
      <w:r>
        <w:t xml:space="preserve"> </w:t>
      </w:r>
      <w:r w:rsidRPr="00CF18DE">
        <w:t>http://leistungsschutzrecht.info/</w:t>
      </w:r>
      <w:r>
        <w:t>.</w:t>
      </w:r>
    </w:p>
  </w:footnote>
  <w:footnote w:id="30">
    <w:p w14:paraId="0C48A2F2" w14:textId="5315F679" w:rsidR="002B006B" w:rsidRDefault="002B006B" w:rsidP="002D3FB3">
      <w:pPr>
        <w:pStyle w:val="Funotentext"/>
      </w:pPr>
      <w:r>
        <w:rPr>
          <w:rStyle w:val="Funotenzeichen"/>
        </w:rPr>
        <w:footnoteRef/>
      </w:r>
      <w:r>
        <w:t xml:space="preserve"> </w:t>
      </w:r>
      <w:r w:rsidRPr="002D3FB3">
        <w:t>http://ancillarycopyright.eu/news/2016-11-23/how-solve-only-specific-problem-press-publishers-copyright-without-ancillary-copyright</w:t>
      </w:r>
      <w:r>
        <w:t>.</w:t>
      </w:r>
    </w:p>
  </w:footnote>
  <w:footnote w:id="31">
    <w:p w14:paraId="45CD074F" w14:textId="77777777" w:rsidR="002B006B" w:rsidRDefault="002B006B" w:rsidP="00CF18DE">
      <w:pPr>
        <w:pStyle w:val="Funotentext"/>
      </w:pPr>
      <w:r>
        <w:rPr>
          <w:rStyle w:val="Funotenzeichen"/>
        </w:rPr>
        <w:footnoteRef/>
      </w:r>
      <w:r>
        <w:t xml:space="preserve"> </w:t>
      </w:r>
      <w:r w:rsidRPr="00CF18DE">
        <w:t>http://copyright4creativity.eu/</w:t>
      </w:r>
      <w:r>
        <w:t>.</w:t>
      </w:r>
    </w:p>
  </w:footnote>
  <w:footnote w:id="32">
    <w:p w14:paraId="30E775A8" w14:textId="547BB778" w:rsidR="002B006B" w:rsidRDefault="002B006B" w:rsidP="0069108C">
      <w:r>
        <w:rPr>
          <w:rStyle w:val="Funotenzeichen"/>
        </w:rPr>
        <w:footnoteRef/>
      </w:r>
      <w:r>
        <w:t xml:space="preserve"> </w:t>
      </w:r>
      <w:r w:rsidRPr="006B722F">
        <w:rPr>
          <w:rStyle w:val="FunotentextZeichen"/>
        </w:rPr>
        <w:t>„Reprobel“-Urteil des EuGH vom 12. November 2015 in der Rechtssache C-572/13; darauf folgend das „Vogel“-Urteil des BGH vom 21. April 2016, ZR 198/13.  Zu beiden Urteilen vgl. ausführlich: https://irights.info/artikel/eugh-reprobel-vogel-vgwort-c-572-13/26429</w:t>
      </w:r>
      <w:r>
        <w:t>.</w:t>
      </w:r>
    </w:p>
  </w:footnote>
  <w:footnote w:id="33">
    <w:p w14:paraId="32975D50" w14:textId="41D86378" w:rsidR="002B006B" w:rsidRDefault="002B006B">
      <w:pPr>
        <w:pStyle w:val="Funotentext"/>
      </w:pPr>
      <w:r>
        <w:rPr>
          <w:rStyle w:val="Funotenzeichen"/>
        </w:rPr>
        <w:footnoteRef/>
      </w:r>
      <w:r>
        <w:t xml:space="preserve"> Vgl. dazu die Sicht der VG-Wort – </w:t>
      </w:r>
      <w:hyperlink r:id="rId9" w:history="1">
        <w:r w:rsidRPr="006B722F">
          <w:t>https://www.boersenblatt.net/artikel-interview_mit_robert_staats__geschaeftsfuehrer_der_vg_wort.1266695.html</w:t>
        </w:r>
      </w:hyperlink>
      <w:r>
        <w:t xml:space="preserve">; der Autoren-Musterbrief des Börsenvereins unter: </w:t>
      </w:r>
      <w:r w:rsidRPr="000E569C">
        <w:t>https://www.pdf-archive.com/2016/11/06/boev-info-vg-wort-okt-2016/</w:t>
      </w:r>
      <w:r>
        <w:t>.</w:t>
      </w:r>
    </w:p>
  </w:footnote>
  <w:footnote w:id="34">
    <w:p w14:paraId="5C1E2205" w14:textId="5836A3A7" w:rsidR="002B006B" w:rsidRDefault="002B006B" w:rsidP="00620178">
      <w:pPr>
        <w:pStyle w:val="Funotentext"/>
      </w:pPr>
      <w:r w:rsidRPr="006B722F">
        <w:footnoteRef/>
      </w:r>
      <w:r w:rsidRPr="006B722F">
        <w:t xml:space="preserve"> Europe Economics; Lucie Guibault and Olivia Salamanca of the University of Amsterdam: Remuneration of authors of books and scientific journals, translators, journalists and visual artists for the use of their works. </w:t>
      </w:r>
      <w:r w:rsidRPr="0095035B">
        <w:t xml:space="preserve">2016 – Volltext: </w:t>
      </w:r>
      <w:hyperlink r:id="rId10" w:history="1">
        <w:r w:rsidRPr="006B722F">
          <w:t>http://ec.europa.eu/newsroom/dae/document.cfm?action=display&amp;doc_id=17026r</w:t>
        </w:r>
      </w:hyperlink>
      <w:r>
        <w:t>.</w:t>
      </w:r>
    </w:p>
  </w:footnote>
  <w:footnote w:id="35">
    <w:p w14:paraId="5E0C8EE7" w14:textId="62304111" w:rsidR="002B006B" w:rsidRDefault="002B006B" w:rsidP="00620178">
      <w:pPr>
        <w:pStyle w:val="Funotentext"/>
      </w:pPr>
      <w:r>
        <w:rPr>
          <w:rStyle w:val="Funotenzeichen"/>
        </w:rPr>
        <w:footnoteRef/>
      </w:r>
      <w:r>
        <w:t xml:space="preserve"> </w:t>
      </w:r>
      <w:hyperlink r:id="rId11" w:history="1">
        <w:r w:rsidRPr="00280F66">
          <w:t>https://www.bundestag.de/presse/hib/2015_02/-/362606</w:t>
        </w:r>
      </w:hyperlink>
      <w:r w:rsidRPr="00280F66">
        <w:t>. Die dem zugrundliegende Petition bezug sich auf Mit</w:t>
      </w:r>
      <w:r>
        <w:t>schnitte im TV-Programm Schüler</w:t>
      </w:r>
      <w:r w:rsidRPr="00280F66">
        <w:t xml:space="preserve"> und Studenten. Obwohl diese</w:t>
      </w:r>
      <w:r>
        <w:rPr>
          <w:rFonts w:eastAsia="Times New Roman" w:cs="Times New Roman"/>
        </w:rPr>
        <w:t xml:space="preserve"> Petition die 50.000 Unterzeichner-Hürde sehr deutlich nicht überspringen konnte, hat der Petitionsausschuss die Frage aufgegriffen und für „urheberrechtlich geschützte Werke“ insgesamt verallgemeinert.</w:t>
      </w:r>
    </w:p>
  </w:footnote>
  <w:footnote w:id="36">
    <w:p w14:paraId="3FD308F1" w14:textId="1623A6B1" w:rsidR="002B006B" w:rsidRDefault="002B006B">
      <w:pPr>
        <w:pStyle w:val="Funotentext"/>
      </w:pPr>
      <w:r>
        <w:rPr>
          <w:rStyle w:val="Funotenzeichen"/>
        </w:rPr>
        <w:footnoteRef/>
      </w:r>
      <w:r>
        <w:t xml:space="preserve"> </w:t>
      </w:r>
      <w:hyperlink r:id="rId12" w:history="1">
        <w:r w:rsidRPr="00496D17">
          <w:t>http://bit.ly/2cgKWZ6</w:t>
        </w:r>
      </w:hyperlink>
      <w:r w:rsidRPr="00496D17">
        <w:t>.</w:t>
      </w:r>
    </w:p>
  </w:footnote>
  <w:footnote w:id="37">
    <w:p w14:paraId="41688E0F" w14:textId="70BE884C" w:rsidR="002B006B" w:rsidRDefault="002B006B">
      <w:pPr>
        <w:pStyle w:val="Funotentext"/>
      </w:pPr>
      <w:r>
        <w:rPr>
          <w:rStyle w:val="Funotenzeichen"/>
        </w:rPr>
        <w:footnoteRef/>
      </w:r>
      <w:r>
        <w:t xml:space="preserve"> Draft opinions für JURI unter </w:t>
      </w:r>
      <w:r w:rsidRPr="00D17F43">
        <w:t>http://www.europarl.europa.eu/committees/en/juri/draft-opinions.html</w:t>
      </w:r>
      <w:r>
        <w:t xml:space="preserve"> und für CULT unter: </w:t>
      </w:r>
      <w:r w:rsidRPr="00D17F43">
        <w:t>http://www.europarl.europa.eu/committees/en/cult/draft-opinions.html</w:t>
      </w:r>
      <w:r>
        <w:t>.</w:t>
      </w:r>
    </w:p>
  </w:footnote>
  <w:footnote w:id="38">
    <w:p w14:paraId="4241F173" w14:textId="587FCE0F" w:rsidR="002B006B" w:rsidRDefault="002B006B">
      <w:pPr>
        <w:pStyle w:val="Funotentext"/>
      </w:pPr>
      <w:r>
        <w:rPr>
          <w:rStyle w:val="Funotenzeichen"/>
        </w:rPr>
        <w:footnoteRef/>
      </w:r>
      <w:r>
        <w:t xml:space="preserve"> </w:t>
      </w:r>
      <w:hyperlink r:id="rId13" w:history="1">
        <w:r w:rsidRPr="00496D17">
          <w:t>http://bit.ly/2944rFa</w:t>
        </w:r>
      </w:hyperlink>
      <w:r w:rsidRPr="00496D17">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B41AF" w14:textId="77777777" w:rsidR="002B006B" w:rsidRDefault="002B006B" w:rsidP="009125F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D938DCC" w14:textId="77777777" w:rsidR="002B006B" w:rsidRDefault="002B006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D56E7" w14:textId="77777777" w:rsidR="002B006B" w:rsidRDefault="002B006B" w:rsidP="00622177">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812CA9">
      <w:rPr>
        <w:rStyle w:val="Seitenzahl"/>
        <w:noProof/>
      </w:rPr>
      <w:t>24</w:t>
    </w:r>
    <w:r>
      <w:rPr>
        <w:rStyle w:val="Seitenzahl"/>
      </w:rPr>
      <w:fldChar w:fldCharType="end"/>
    </w:r>
  </w:p>
  <w:p w14:paraId="2B4E6C4F" w14:textId="77777777" w:rsidR="002B006B" w:rsidRDefault="002B006B" w:rsidP="0062217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6A62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4C0F62"/>
    <w:multiLevelType w:val="hybridMultilevel"/>
    <w:tmpl w:val="92961AF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nsid w:val="09F3654C"/>
    <w:multiLevelType w:val="multilevel"/>
    <w:tmpl w:val="58367C8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9F41325"/>
    <w:multiLevelType w:val="hybridMultilevel"/>
    <w:tmpl w:val="481CBB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AAF1CFC"/>
    <w:multiLevelType w:val="multilevel"/>
    <w:tmpl w:val="FCF840E8"/>
    <w:numStyleLink w:val="111111"/>
  </w:abstractNum>
  <w:abstractNum w:abstractNumId="6">
    <w:nsid w:val="0D1F05A3"/>
    <w:multiLevelType w:val="hybridMultilevel"/>
    <w:tmpl w:val="C3A66166"/>
    <w:lvl w:ilvl="0" w:tplc="13B6A8EA">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11802A5"/>
    <w:multiLevelType w:val="hybridMultilevel"/>
    <w:tmpl w:val="65C253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9358F5"/>
    <w:multiLevelType w:val="hybridMultilevel"/>
    <w:tmpl w:val="CB3421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054552"/>
    <w:multiLevelType w:val="hybridMultilevel"/>
    <w:tmpl w:val="20E67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036CD7"/>
    <w:multiLevelType w:val="hybridMultilevel"/>
    <w:tmpl w:val="662865A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39F4E30"/>
    <w:multiLevelType w:val="hybridMultilevel"/>
    <w:tmpl w:val="9A22AE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170504F"/>
    <w:multiLevelType w:val="multilevel"/>
    <w:tmpl w:val="10FE1F50"/>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4">
    <w:nsid w:val="348A4187"/>
    <w:multiLevelType w:val="hybridMultilevel"/>
    <w:tmpl w:val="4FCCB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7BD0C3F"/>
    <w:multiLevelType w:val="multilevel"/>
    <w:tmpl w:val="FCF840E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B527AE9"/>
    <w:multiLevelType w:val="hybridMultilevel"/>
    <w:tmpl w:val="14A0821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D4B2AC9"/>
    <w:multiLevelType w:val="hybridMultilevel"/>
    <w:tmpl w:val="A9943D6C"/>
    <w:lvl w:ilvl="0" w:tplc="C6C8A09E">
      <w:start w:val="1"/>
      <w:numFmt w:val="decimal"/>
      <w:lvlText w:val="%1)"/>
      <w:lvlJc w:val="left"/>
      <w:pPr>
        <w:ind w:left="1080" w:hanging="360"/>
      </w:pPr>
      <w:rPr>
        <w:rFonts w:asciiTheme="minorHAnsi" w:eastAsiaTheme="minorEastAsia"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nsid w:val="3E0C24C6"/>
    <w:multiLevelType w:val="multilevel"/>
    <w:tmpl w:val="36221284"/>
    <w:lvl w:ilvl="0">
      <w:start w:val="1"/>
      <w:numFmt w:val="decimal"/>
      <w:lvlText w:val="%1."/>
      <w:lvlJc w:val="left"/>
      <w:pPr>
        <w:ind w:left="360" w:hanging="360"/>
      </w:pPr>
    </w:lvl>
    <w:lvl w:ilvl="1">
      <w:start w:val="2"/>
      <w:numFmt w:val="decimal"/>
      <w:isLgl/>
      <w:lvlText w:val="%1.%2"/>
      <w:lvlJc w:val="left"/>
      <w:pPr>
        <w:ind w:left="500" w:hanging="5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3F364ECE"/>
    <w:multiLevelType w:val="hybridMultilevel"/>
    <w:tmpl w:val="D194D5E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0">
    <w:nsid w:val="42B9702B"/>
    <w:multiLevelType w:val="hybridMultilevel"/>
    <w:tmpl w:val="F0A0CE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5866039"/>
    <w:multiLevelType w:val="multilevel"/>
    <w:tmpl w:val="3F5E7D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AC62DF"/>
    <w:multiLevelType w:val="hybridMultilevel"/>
    <w:tmpl w:val="99908F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8F23B87"/>
    <w:multiLevelType w:val="hybridMultilevel"/>
    <w:tmpl w:val="E940FD4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17A06B2"/>
    <w:multiLevelType w:val="hybridMultilevel"/>
    <w:tmpl w:val="27E4DC8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1AA231A"/>
    <w:multiLevelType w:val="multilevel"/>
    <w:tmpl w:val="31864548"/>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6">
    <w:nsid w:val="536D494A"/>
    <w:multiLevelType w:val="hybridMultilevel"/>
    <w:tmpl w:val="C65ADE1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5D802D0"/>
    <w:multiLevelType w:val="multilevel"/>
    <w:tmpl w:val="0852AEE2"/>
    <w:lvl w:ilvl="0">
      <w:start w:val="1"/>
      <w:numFmt w:val="decimal"/>
      <w:pStyle w:val="berschrift1"/>
      <w:lvlText w:val="%1."/>
      <w:lvlJc w:val="left"/>
      <w:pPr>
        <w:ind w:left="0" w:hanging="360"/>
      </w:pPr>
      <w:rPr>
        <w:rFonts w:hint="default"/>
      </w:rPr>
    </w:lvl>
    <w:lvl w:ilvl="1">
      <w:start w:val="1"/>
      <w:numFmt w:val="decimal"/>
      <w:pStyle w:val="berschrift2"/>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8">
    <w:nsid w:val="5B4937E0"/>
    <w:multiLevelType w:val="hybridMultilevel"/>
    <w:tmpl w:val="7480E0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C403FAE"/>
    <w:multiLevelType w:val="hybridMultilevel"/>
    <w:tmpl w:val="A9943D6C"/>
    <w:lvl w:ilvl="0" w:tplc="C6C8A09E">
      <w:start w:val="1"/>
      <w:numFmt w:val="decimal"/>
      <w:lvlText w:val="%1)"/>
      <w:lvlJc w:val="left"/>
      <w:pPr>
        <w:ind w:left="1080" w:hanging="360"/>
      </w:pPr>
      <w:rPr>
        <w:rFonts w:asciiTheme="minorHAnsi" w:eastAsiaTheme="minorEastAsia" w:hAnsiTheme="minorHAnsi" w:cstheme="minorBid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nsid w:val="5D6D65F1"/>
    <w:multiLevelType w:val="hybridMultilevel"/>
    <w:tmpl w:val="56A66E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F77106E"/>
    <w:multiLevelType w:val="hybridMultilevel"/>
    <w:tmpl w:val="063A395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0C51FD7"/>
    <w:multiLevelType w:val="hybridMultilevel"/>
    <w:tmpl w:val="51C0A8A2"/>
    <w:lvl w:ilvl="0" w:tplc="6870026C">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0EB538C"/>
    <w:multiLevelType w:val="hybridMultilevel"/>
    <w:tmpl w:val="EC8A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3BF758B"/>
    <w:multiLevelType w:val="multilevel"/>
    <w:tmpl w:val="6470BD22"/>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AED41EE"/>
    <w:multiLevelType w:val="hybridMultilevel"/>
    <w:tmpl w:val="F21839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B7A78A1"/>
    <w:multiLevelType w:val="hybridMultilevel"/>
    <w:tmpl w:val="08E489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EC96E3F"/>
    <w:multiLevelType w:val="multilevel"/>
    <w:tmpl w:val="4D38CFDC"/>
    <w:lvl w:ilvl="0">
      <w:start w:val="1"/>
      <w:numFmt w:val="decimal"/>
      <w:pStyle w:val="Listenabsatz"/>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73E72828"/>
    <w:multiLevelType w:val="hybridMultilevel"/>
    <w:tmpl w:val="BDBECAA2"/>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9">
    <w:nsid w:val="77555651"/>
    <w:multiLevelType w:val="hybridMultilevel"/>
    <w:tmpl w:val="73FE3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FB92799"/>
    <w:multiLevelType w:val="multilevel"/>
    <w:tmpl w:val="A120EE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29"/>
  </w:num>
  <w:num w:numId="3">
    <w:abstractNumId w:val="18"/>
  </w:num>
  <w:num w:numId="4">
    <w:abstractNumId w:val="1"/>
  </w:num>
  <w:num w:numId="5">
    <w:abstractNumId w:val="13"/>
  </w:num>
  <w:num w:numId="6">
    <w:abstractNumId w:val="38"/>
  </w:num>
  <w:num w:numId="7">
    <w:abstractNumId w:val="0"/>
  </w:num>
  <w:num w:numId="8">
    <w:abstractNumId w:val="32"/>
  </w:num>
  <w:num w:numId="9">
    <w:abstractNumId w:val="6"/>
  </w:num>
  <w:num w:numId="10">
    <w:abstractNumId w:val="17"/>
  </w:num>
  <w:num w:numId="11">
    <w:abstractNumId w:val="2"/>
  </w:num>
  <w:num w:numId="12">
    <w:abstractNumId w:val="20"/>
  </w:num>
  <w:num w:numId="13">
    <w:abstractNumId w:val="35"/>
  </w:num>
  <w:num w:numId="14">
    <w:abstractNumId w:val="4"/>
  </w:num>
  <w:num w:numId="15">
    <w:abstractNumId w:val="11"/>
  </w:num>
  <w:num w:numId="16">
    <w:abstractNumId w:val="16"/>
  </w:num>
  <w:num w:numId="17">
    <w:abstractNumId w:val="24"/>
  </w:num>
  <w:num w:numId="18">
    <w:abstractNumId w:val="28"/>
  </w:num>
  <w:num w:numId="19">
    <w:abstractNumId w:val="8"/>
  </w:num>
  <w:num w:numId="20">
    <w:abstractNumId w:val="31"/>
  </w:num>
  <w:num w:numId="21">
    <w:abstractNumId w:val="26"/>
  </w:num>
  <w:num w:numId="22">
    <w:abstractNumId w:val="21"/>
  </w:num>
  <w:num w:numId="23">
    <w:abstractNumId w:val="3"/>
  </w:num>
  <w:num w:numId="24">
    <w:abstractNumId w:val="15"/>
  </w:num>
  <w:num w:numId="25">
    <w:abstractNumId w:val="5"/>
  </w:num>
  <w:num w:numId="26">
    <w:abstractNumId w:val="22"/>
  </w:num>
  <w:num w:numId="27">
    <w:abstractNumId w:val="37"/>
  </w:num>
  <w:num w:numId="28">
    <w:abstractNumId w:val="34"/>
  </w:num>
  <w:num w:numId="29">
    <w:abstractNumId w:val="25"/>
  </w:num>
  <w:num w:numId="30">
    <w:abstractNumId w:val="30"/>
  </w:num>
  <w:num w:numId="31">
    <w:abstractNumId w:val="33"/>
  </w:num>
  <w:num w:numId="32">
    <w:abstractNumId w:val="7"/>
  </w:num>
  <w:num w:numId="33">
    <w:abstractNumId w:val="12"/>
  </w:num>
  <w:num w:numId="34">
    <w:abstractNumId w:val="14"/>
  </w:num>
  <w:num w:numId="35">
    <w:abstractNumId w:val="36"/>
  </w:num>
  <w:num w:numId="36">
    <w:abstractNumId w:val="10"/>
  </w:num>
  <w:num w:numId="37">
    <w:abstractNumId w:val="19"/>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40"/>
  </w:num>
  <w:num w:numId="42">
    <w:abstractNumId w:val="27"/>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hinte">
    <w15:presenceInfo w15:providerId="AD" w15:userId="S-1-5-21-1757981266-1450960922-682003330-112583"/>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10"/>
    <w:rsid w:val="00022A5D"/>
    <w:rsid w:val="00032A25"/>
    <w:rsid w:val="00042146"/>
    <w:rsid w:val="00050125"/>
    <w:rsid w:val="00054D04"/>
    <w:rsid w:val="00060C5C"/>
    <w:rsid w:val="000713C5"/>
    <w:rsid w:val="00083137"/>
    <w:rsid w:val="000839FF"/>
    <w:rsid w:val="000912FD"/>
    <w:rsid w:val="00091DBB"/>
    <w:rsid w:val="000D0990"/>
    <w:rsid w:val="000D11FD"/>
    <w:rsid w:val="000D1290"/>
    <w:rsid w:val="000D1CFA"/>
    <w:rsid w:val="000D3426"/>
    <w:rsid w:val="000E02D3"/>
    <w:rsid w:val="000E569C"/>
    <w:rsid w:val="001114FE"/>
    <w:rsid w:val="00121979"/>
    <w:rsid w:val="00121EDD"/>
    <w:rsid w:val="001245E6"/>
    <w:rsid w:val="00124E04"/>
    <w:rsid w:val="001250F6"/>
    <w:rsid w:val="00136B19"/>
    <w:rsid w:val="001516B6"/>
    <w:rsid w:val="00165E7D"/>
    <w:rsid w:val="00176EA7"/>
    <w:rsid w:val="00185B8F"/>
    <w:rsid w:val="001B4A89"/>
    <w:rsid w:val="001B7498"/>
    <w:rsid w:val="001C0E8D"/>
    <w:rsid w:val="001C1021"/>
    <w:rsid w:val="001C1FE6"/>
    <w:rsid w:val="001D5172"/>
    <w:rsid w:val="001F17FE"/>
    <w:rsid w:val="001F5610"/>
    <w:rsid w:val="00210982"/>
    <w:rsid w:val="00211E29"/>
    <w:rsid w:val="002274E8"/>
    <w:rsid w:val="002429AD"/>
    <w:rsid w:val="00250C74"/>
    <w:rsid w:val="00262375"/>
    <w:rsid w:val="00263B15"/>
    <w:rsid w:val="0026420B"/>
    <w:rsid w:val="002678F6"/>
    <w:rsid w:val="002B0042"/>
    <w:rsid w:val="002B006B"/>
    <w:rsid w:val="002C23C2"/>
    <w:rsid w:val="002D3E7B"/>
    <w:rsid w:val="002D3FB3"/>
    <w:rsid w:val="002E0C63"/>
    <w:rsid w:val="002E3DCE"/>
    <w:rsid w:val="002E4697"/>
    <w:rsid w:val="00311F60"/>
    <w:rsid w:val="00317323"/>
    <w:rsid w:val="003366EA"/>
    <w:rsid w:val="00363D7D"/>
    <w:rsid w:val="00367BE8"/>
    <w:rsid w:val="003701D0"/>
    <w:rsid w:val="0037465A"/>
    <w:rsid w:val="00391069"/>
    <w:rsid w:val="0039203D"/>
    <w:rsid w:val="00395C02"/>
    <w:rsid w:val="003978E3"/>
    <w:rsid w:val="003A1D25"/>
    <w:rsid w:val="003A3AC5"/>
    <w:rsid w:val="003A3C01"/>
    <w:rsid w:val="003A4081"/>
    <w:rsid w:val="003B5E2A"/>
    <w:rsid w:val="003B6FC1"/>
    <w:rsid w:val="003B76DF"/>
    <w:rsid w:val="003C01E6"/>
    <w:rsid w:val="003C0F6C"/>
    <w:rsid w:val="003D288C"/>
    <w:rsid w:val="003E0659"/>
    <w:rsid w:val="003E3C44"/>
    <w:rsid w:val="003E5910"/>
    <w:rsid w:val="003F3EFE"/>
    <w:rsid w:val="003F4991"/>
    <w:rsid w:val="003F5993"/>
    <w:rsid w:val="00403AAD"/>
    <w:rsid w:val="00405A2E"/>
    <w:rsid w:val="0040679E"/>
    <w:rsid w:val="0041560B"/>
    <w:rsid w:val="004179E1"/>
    <w:rsid w:val="00421A99"/>
    <w:rsid w:val="00443206"/>
    <w:rsid w:val="004473F8"/>
    <w:rsid w:val="00451D99"/>
    <w:rsid w:val="00455BF9"/>
    <w:rsid w:val="0046151D"/>
    <w:rsid w:val="00462680"/>
    <w:rsid w:val="00465F0D"/>
    <w:rsid w:val="00486CDA"/>
    <w:rsid w:val="00491AF1"/>
    <w:rsid w:val="00496D17"/>
    <w:rsid w:val="004A4DB7"/>
    <w:rsid w:val="004B3799"/>
    <w:rsid w:val="004C5B02"/>
    <w:rsid w:val="004C6853"/>
    <w:rsid w:val="004D05F8"/>
    <w:rsid w:val="004D4AD5"/>
    <w:rsid w:val="004E4E5D"/>
    <w:rsid w:val="004F222A"/>
    <w:rsid w:val="004F286A"/>
    <w:rsid w:val="004F664B"/>
    <w:rsid w:val="004F6AF6"/>
    <w:rsid w:val="0051657F"/>
    <w:rsid w:val="00520B10"/>
    <w:rsid w:val="00527B2C"/>
    <w:rsid w:val="00533A6F"/>
    <w:rsid w:val="00536C21"/>
    <w:rsid w:val="0055597E"/>
    <w:rsid w:val="00557724"/>
    <w:rsid w:val="00560107"/>
    <w:rsid w:val="0057378D"/>
    <w:rsid w:val="00585CA4"/>
    <w:rsid w:val="00596832"/>
    <w:rsid w:val="00597E96"/>
    <w:rsid w:val="005A227E"/>
    <w:rsid w:val="005A7E0A"/>
    <w:rsid w:val="005B1D90"/>
    <w:rsid w:val="005B58F7"/>
    <w:rsid w:val="005C1D99"/>
    <w:rsid w:val="005C6FF4"/>
    <w:rsid w:val="005C7C36"/>
    <w:rsid w:val="005D61DE"/>
    <w:rsid w:val="005D68C6"/>
    <w:rsid w:val="005E5746"/>
    <w:rsid w:val="00600DD5"/>
    <w:rsid w:val="00606F90"/>
    <w:rsid w:val="00615886"/>
    <w:rsid w:val="00615C17"/>
    <w:rsid w:val="00620178"/>
    <w:rsid w:val="00622177"/>
    <w:rsid w:val="00633483"/>
    <w:rsid w:val="0064496F"/>
    <w:rsid w:val="00647BF7"/>
    <w:rsid w:val="006555D4"/>
    <w:rsid w:val="006579FE"/>
    <w:rsid w:val="00657EB4"/>
    <w:rsid w:val="006743B7"/>
    <w:rsid w:val="0069108C"/>
    <w:rsid w:val="006A123C"/>
    <w:rsid w:val="006A6035"/>
    <w:rsid w:val="006B3F51"/>
    <w:rsid w:val="006B722F"/>
    <w:rsid w:val="006C6F24"/>
    <w:rsid w:val="006D64F0"/>
    <w:rsid w:val="006E6B84"/>
    <w:rsid w:val="00700E93"/>
    <w:rsid w:val="00700F0C"/>
    <w:rsid w:val="00717FDF"/>
    <w:rsid w:val="007243BC"/>
    <w:rsid w:val="0072518D"/>
    <w:rsid w:val="00736922"/>
    <w:rsid w:val="00764E5D"/>
    <w:rsid w:val="00765DA1"/>
    <w:rsid w:val="007719BF"/>
    <w:rsid w:val="007746F3"/>
    <w:rsid w:val="00783554"/>
    <w:rsid w:val="007A4FBE"/>
    <w:rsid w:val="007A53EC"/>
    <w:rsid w:val="007B18DC"/>
    <w:rsid w:val="007B423D"/>
    <w:rsid w:val="007B63E7"/>
    <w:rsid w:val="007D33D6"/>
    <w:rsid w:val="007E2954"/>
    <w:rsid w:val="007E587F"/>
    <w:rsid w:val="008124E8"/>
    <w:rsid w:val="00812CA9"/>
    <w:rsid w:val="00830495"/>
    <w:rsid w:val="00832993"/>
    <w:rsid w:val="00832B94"/>
    <w:rsid w:val="00833073"/>
    <w:rsid w:val="00833B36"/>
    <w:rsid w:val="008430DB"/>
    <w:rsid w:val="008704F1"/>
    <w:rsid w:val="00871191"/>
    <w:rsid w:val="00875527"/>
    <w:rsid w:val="00875836"/>
    <w:rsid w:val="00877993"/>
    <w:rsid w:val="0088608C"/>
    <w:rsid w:val="008A31FF"/>
    <w:rsid w:val="008C3956"/>
    <w:rsid w:val="008C57D2"/>
    <w:rsid w:val="008C7B31"/>
    <w:rsid w:val="008D43E9"/>
    <w:rsid w:val="008D77CF"/>
    <w:rsid w:val="008E6C87"/>
    <w:rsid w:val="008E773B"/>
    <w:rsid w:val="008F1DF2"/>
    <w:rsid w:val="008F3EE1"/>
    <w:rsid w:val="009125F7"/>
    <w:rsid w:val="00921F65"/>
    <w:rsid w:val="00941803"/>
    <w:rsid w:val="0095035B"/>
    <w:rsid w:val="009512AD"/>
    <w:rsid w:val="0095302D"/>
    <w:rsid w:val="0095315C"/>
    <w:rsid w:val="0095403A"/>
    <w:rsid w:val="00963A86"/>
    <w:rsid w:val="009703D5"/>
    <w:rsid w:val="0097162F"/>
    <w:rsid w:val="009727C3"/>
    <w:rsid w:val="009732E1"/>
    <w:rsid w:val="00974D49"/>
    <w:rsid w:val="00977E19"/>
    <w:rsid w:val="009838A4"/>
    <w:rsid w:val="0098789C"/>
    <w:rsid w:val="009A3A3D"/>
    <w:rsid w:val="009D0D39"/>
    <w:rsid w:val="009D124A"/>
    <w:rsid w:val="009D6F92"/>
    <w:rsid w:val="009F4CA6"/>
    <w:rsid w:val="00A04A3A"/>
    <w:rsid w:val="00A06914"/>
    <w:rsid w:val="00A1388C"/>
    <w:rsid w:val="00A144BA"/>
    <w:rsid w:val="00A24CBC"/>
    <w:rsid w:val="00A32BC3"/>
    <w:rsid w:val="00A3527D"/>
    <w:rsid w:val="00A52A81"/>
    <w:rsid w:val="00A60AD8"/>
    <w:rsid w:val="00A613BD"/>
    <w:rsid w:val="00A67853"/>
    <w:rsid w:val="00A751B7"/>
    <w:rsid w:val="00A81E87"/>
    <w:rsid w:val="00A851BB"/>
    <w:rsid w:val="00A875B8"/>
    <w:rsid w:val="00AB161E"/>
    <w:rsid w:val="00AB1D0C"/>
    <w:rsid w:val="00AC7647"/>
    <w:rsid w:val="00AD3A8E"/>
    <w:rsid w:val="00AE582C"/>
    <w:rsid w:val="00AF4C87"/>
    <w:rsid w:val="00B11B75"/>
    <w:rsid w:val="00B22900"/>
    <w:rsid w:val="00B26AC7"/>
    <w:rsid w:val="00B4250D"/>
    <w:rsid w:val="00B452DE"/>
    <w:rsid w:val="00B46889"/>
    <w:rsid w:val="00B601FA"/>
    <w:rsid w:val="00B70658"/>
    <w:rsid w:val="00B82D13"/>
    <w:rsid w:val="00B87778"/>
    <w:rsid w:val="00BB0196"/>
    <w:rsid w:val="00BB6FF3"/>
    <w:rsid w:val="00BC14B5"/>
    <w:rsid w:val="00BC1CAC"/>
    <w:rsid w:val="00BC5F6E"/>
    <w:rsid w:val="00BC7A76"/>
    <w:rsid w:val="00BE168B"/>
    <w:rsid w:val="00C05128"/>
    <w:rsid w:val="00C26701"/>
    <w:rsid w:val="00C423AC"/>
    <w:rsid w:val="00C5038E"/>
    <w:rsid w:val="00C51891"/>
    <w:rsid w:val="00C5212F"/>
    <w:rsid w:val="00C55008"/>
    <w:rsid w:val="00C63D3B"/>
    <w:rsid w:val="00C63EA4"/>
    <w:rsid w:val="00C67555"/>
    <w:rsid w:val="00C70F48"/>
    <w:rsid w:val="00C736D2"/>
    <w:rsid w:val="00C85D9A"/>
    <w:rsid w:val="00C8634D"/>
    <w:rsid w:val="00C87A68"/>
    <w:rsid w:val="00CA5B87"/>
    <w:rsid w:val="00CB24B1"/>
    <w:rsid w:val="00CC2540"/>
    <w:rsid w:val="00CC6E10"/>
    <w:rsid w:val="00CD036E"/>
    <w:rsid w:val="00CD1835"/>
    <w:rsid w:val="00CF18DE"/>
    <w:rsid w:val="00D03C63"/>
    <w:rsid w:val="00D03EA5"/>
    <w:rsid w:val="00D07A34"/>
    <w:rsid w:val="00D17F43"/>
    <w:rsid w:val="00D205A6"/>
    <w:rsid w:val="00D20C09"/>
    <w:rsid w:val="00D21A75"/>
    <w:rsid w:val="00D23FDA"/>
    <w:rsid w:val="00D266E3"/>
    <w:rsid w:val="00D41D88"/>
    <w:rsid w:val="00D47317"/>
    <w:rsid w:val="00D525DB"/>
    <w:rsid w:val="00D52D69"/>
    <w:rsid w:val="00D54125"/>
    <w:rsid w:val="00D55AF4"/>
    <w:rsid w:val="00D718B2"/>
    <w:rsid w:val="00D7351C"/>
    <w:rsid w:val="00D75ABE"/>
    <w:rsid w:val="00D765FF"/>
    <w:rsid w:val="00D76AC7"/>
    <w:rsid w:val="00DA44B0"/>
    <w:rsid w:val="00DA7552"/>
    <w:rsid w:val="00DB4E60"/>
    <w:rsid w:val="00DC1579"/>
    <w:rsid w:val="00DC40E0"/>
    <w:rsid w:val="00DC4559"/>
    <w:rsid w:val="00DD210B"/>
    <w:rsid w:val="00DD3074"/>
    <w:rsid w:val="00DD788C"/>
    <w:rsid w:val="00DD7FB9"/>
    <w:rsid w:val="00DE3454"/>
    <w:rsid w:val="00DE42D3"/>
    <w:rsid w:val="00DE442C"/>
    <w:rsid w:val="00E07D63"/>
    <w:rsid w:val="00E15207"/>
    <w:rsid w:val="00E20869"/>
    <w:rsid w:val="00E25985"/>
    <w:rsid w:val="00E25AFC"/>
    <w:rsid w:val="00E328F2"/>
    <w:rsid w:val="00E335A6"/>
    <w:rsid w:val="00E33946"/>
    <w:rsid w:val="00E347D4"/>
    <w:rsid w:val="00E37F58"/>
    <w:rsid w:val="00E54E01"/>
    <w:rsid w:val="00E6634D"/>
    <w:rsid w:val="00E81C55"/>
    <w:rsid w:val="00EA54F9"/>
    <w:rsid w:val="00EB2D2C"/>
    <w:rsid w:val="00EC62F1"/>
    <w:rsid w:val="00ED2B57"/>
    <w:rsid w:val="00EF3A69"/>
    <w:rsid w:val="00EF55B2"/>
    <w:rsid w:val="00EF5BC4"/>
    <w:rsid w:val="00F04698"/>
    <w:rsid w:val="00F06A10"/>
    <w:rsid w:val="00F13C02"/>
    <w:rsid w:val="00F20646"/>
    <w:rsid w:val="00F3402B"/>
    <w:rsid w:val="00F3636E"/>
    <w:rsid w:val="00F41EF6"/>
    <w:rsid w:val="00F47878"/>
    <w:rsid w:val="00F53106"/>
    <w:rsid w:val="00F57628"/>
    <w:rsid w:val="00F61C64"/>
    <w:rsid w:val="00F622ED"/>
    <w:rsid w:val="00F7034E"/>
    <w:rsid w:val="00F750E6"/>
    <w:rsid w:val="00F8106B"/>
    <w:rsid w:val="00F84597"/>
    <w:rsid w:val="00F845DF"/>
    <w:rsid w:val="00F866AD"/>
    <w:rsid w:val="00F92089"/>
    <w:rsid w:val="00F9397C"/>
    <w:rsid w:val="00FA38C9"/>
    <w:rsid w:val="00FA5ABF"/>
    <w:rsid w:val="00FC02E2"/>
    <w:rsid w:val="00FD14E4"/>
    <w:rsid w:val="00FD329C"/>
    <w:rsid w:val="00FD5D69"/>
    <w:rsid w:val="00FD6068"/>
    <w:rsid w:val="00FF44C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A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1DBB"/>
    <w:pPr>
      <w:spacing w:before="100" w:beforeAutospacing="1" w:after="100" w:afterAutospacing="1"/>
    </w:pPr>
  </w:style>
  <w:style w:type="paragraph" w:styleId="berschrift1">
    <w:name w:val="heading 1"/>
    <w:basedOn w:val="Standard"/>
    <w:next w:val="Standard"/>
    <w:link w:val="berschrift1Zeichen"/>
    <w:uiPriority w:val="9"/>
    <w:qFormat/>
    <w:rsid w:val="005D68C6"/>
    <w:pPr>
      <w:keepNext/>
      <w:keepLines/>
      <w:numPr>
        <w:numId w:val="42"/>
      </w:numPr>
      <w:spacing w:before="480" w:after="0"/>
      <w:outlineLvl w:val="0"/>
    </w:pPr>
    <w:rPr>
      <w:rFonts w:asciiTheme="majorHAnsi" w:eastAsiaTheme="majorEastAsia" w:hAnsiTheme="majorHAnsi" w:cstheme="majorBidi"/>
      <w:b/>
      <w:bCs/>
      <w:szCs w:val="32"/>
    </w:rPr>
  </w:style>
  <w:style w:type="paragraph" w:styleId="berschrift2">
    <w:name w:val="heading 2"/>
    <w:basedOn w:val="Standard"/>
    <w:next w:val="Standard"/>
    <w:link w:val="berschrift2Zeichen"/>
    <w:uiPriority w:val="9"/>
    <w:unhideWhenUsed/>
    <w:rsid w:val="005D68C6"/>
    <w:pPr>
      <w:keepNext/>
      <w:keepLines/>
      <w:numPr>
        <w:ilvl w:val="1"/>
        <w:numId w:val="42"/>
      </w:numPr>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eichen"/>
    <w:uiPriority w:val="9"/>
    <w:unhideWhenUsed/>
    <w:qFormat/>
    <w:rsid w:val="005D68C6"/>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eichen"/>
    <w:uiPriority w:val="9"/>
    <w:semiHidden/>
    <w:unhideWhenUsed/>
    <w:qFormat/>
    <w:rsid w:val="005D68C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semiHidden/>
    <w:unhideWhenUsed/>
    <w:qFormat/>
    <w:rsid w:val="005D68C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5D68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5D68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5D68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5D68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1E29"/>
    <w:pPr>
      <w:numPr>
        <w:numId w:val="27"/>
      </w:numPr>
      <w:contextualSpacing/>
    </w:pPr>
  </w:style>
  <w:style w:type="character" w:customStyle="1" w:styleId="berschrift1Zeichen">
    <w:name w:val="Überschrift 1 Zeichen"/>
    <w:basedOn w:val="Absatzstandardschriftart"/>
    <w:link w:val="berschrift1"/>
    <w:uiPriority w:val="9"/>
    <w:rsid w:val="005D68C6"/>
    <w:rPr>
      <w:rFonts w:asciiTheme="majorHAnsi" w:eastAsiaTheme="majorEastAsia" w:hAnsiTheme="majorHAnsi" w:cstheme="majorBidi"/>
      <w:b/>
      <w:bCs/>
      <w:sz w:val="32"/>
      <w:szCs w:val="32"/>
    </w:rPr>
  </w:style>
  <w:style w:type="character" w:customStyle="1" w:styleId="berschrift2Zeichen">
    <w:name w:val="Überschrift 2 Zeichen"/>
    <w:basedOn w:val="Absatzstandardschriftart"/>
    <w:link w:val="berschrift2"/>
    <w:uiPriority w:val="9"/>
    <w:rsid w:val="005D68C6"/>
    <w:rPr>
      <w:rFonts w:asciiTheme="majorHAnsi" w:eastAsiaTheme="majorEastAsia" w:hAnsiTheme="majorHAnsi" w:cstheme="majorBidi"/>
      <w:b/>
      <w:bCs/>
      <w:sz w:val="28"/>
      <w:szCs w:val="26"/>
    </w:rPr>
  </w:style>
  <w:style w:type="paragraph" w:styleId="Kopfzeile">
    <w:name w:val="header"/>
    <w:basedOn w:val="Standard"/>
    <w:link w:val="KopfzeileZeichen"/>
    <w:uiPriority w:val="99"/>
    <w:unhideWhenUsed/>
    <w:rsid w:val="00600DD5"/>
    <w:pPr>
      <w:tabs>
        <w:tab w:val="center" w:pos="4536"/>
        <w:tab w:val="right" w:pos="9072"/>
      </w:tabs>
      <w:spacing w:before="0" w:after="0"/>
    </w:pPr>
  </w:style>
  <w:style w:type="character" w:customStyle="1" w:styleId="KopfzeileZeichen">
    <w:name w:val="Kopfzeile Zeichen"/>
    <w:basedOn w:val="Absatzstandardschriftart"/>
    <w:link w:val="Kopfzeile"/>
    <w:uiPriority w:val="99"/>
    <w:rsid w:val="00600DD5"/>
    <w:rPr>
      <w:sz w:val="28"/>
    </w:rPr>
  </w:style>
  <w:style w:type="character" w:styleId="Seitenzahl">
    <w:name w:val="page number"/>
    <w:basedOn w:val="Absatzstandardschriftart"/>
    <w:uiPriority w:val="99"/>
    <w:semiHidden/>
    <w:unhideWhenUsed/>
    <w:rsid w:val="00600DD5"/>
  </w:style>
  <w:style w:type="paragraph" w:styleId="Sprechblasentext">
    <w:name w:val="Balloon Text"/>
    <w:basedOn w:val="Standard"/>
    <w:link w:val="SprechblasentextZeichen"/>
    <w:uiPriority w:val="99"/>
    <w:semiHidden/>
    <w:unhideWhenUsed/>
    <w:rsid w:val="00E15207"/>
    <w:pPr>
      <w:spacing w:before="0" w:after="0"/>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15207"/>
    <w:rPr>
      <w:rFonts w:ascii="Segoe UI" w:hAnsi="Segoe UI" w:cs="Segoe UI"/>
      <w:sz w:val="18"/>
      <w:szCs w:val="18"/>
    </w:rPr>
  </w:style>
  <w:style w:type="character" w:styleId="Kommentarzeichen">
    <w:name w:val="annotation reference"/>
    <w:basedOn w:val="Absatzstandardschriftart"/>
    <w:uiPriority w:val="99"/>
    <w:semiHidden/>
    <w:unhideWhenUsed/>
    <w:rsid w:val="006E6B84"/>
    <w:rPr>
      <w:sz w:val="16"/>
      <w:szCs w:val="16"/>
    </w:rPr>
  </w:style>
  <w:style w:type="paragraph" w:styleId="Kommentartext">
    <w:name w:val="annotation text"/>
    <w:basedOn w:val="Standard"/>
    <w:link w:val="KommentartextZeichen"/>
    <w:uiPriority w:val="99"/>
    <w:semiHidden/>
    <w:unhideWhenUsed/>
    <w:rsid w:val="006E6B84"/>
    <w:rPr>
      <w:sz w:val="20"/>
      <w:szCs w:val="20"/>
    </w:rPr>
  </w:style>
  <w:style w:type="character" w:customStyle="1" w:styleId="KommentartextZeichen">
    <w:name w:val="Kommentartext Zeichen"/>
    <w:basedOn w:val="Absatzstandardschriftart"/>
    <w:link w:val="Kommentartext"/>
    <w:uiPriority w:val="99"/>
    <w:semiHidden/>
    <w:rsid w:val="006E6B84"/>
    <w:rPr>
      <w:sz w:val="20"/>
      <w:szCs w:val="20"/>
    </w:rPr>
  </w:style>
  <w:style w:type="paragraph" w:styleId="Kommentarthema">
    <w:name w:val="annotation subject"/>
    <w:basedOn w:val="Kommentartext"/>
    <w:next w:val="Kommentartext"/>
    <w:link w:val="KommentarthemaZeichen"/>
    <w:uiPriority w:val="99"/>
    <w:semiHidden/>
    <w:unhideWhenUsed/>
    <w:rsid w:val="006E6B84"/>
    <w:rPr>
      <w:b/>
      <w:bCs/>
    </w:rPr>
  </w:style>
  <w:style w:type="character" w:customStyle="1" w:styleId="KommentarthemaZeichen">
    <w:name w:val="Kommentarthema Zeichen"/>
    <w:basedOn w:val="KommentartextZeichen"/>
    <w:link w:val="Kommentarthema"/>
    <w:uiPriority w:val="99"/>
    <w:semiHidden/>
    <w:rsid w:val="006E6B84"/>
    <w:rPr>
      <w:b/>
      <w:bCs/>
      <w:sz w:val="20"/>
      <w:szCs w:val="20"/>
    </w:rPr>
  </w:style>
  <w:style w:type="paragraph" w:customStyle="1" w:styleId="Default">
    <w:name w:val="Default"/>
    <w:rsid w:val="004F664B"/>
    <w:pPr>
      <w:autoSpaceDE w:val="0"/>
      <w:autoSpaceDN w:val="0"/>
      <w:adjustRightInd w:val="0"/>
    </w:pPr>
    <w:rPr>
      <w:rFonts w:ascii="Times New Roman" w:hAnsi="Times New Roman" w:cs="Times New Roman"/>
      <w:color w:val="000000"/>
    </w:rPr>
  </w:style>
  <w:style w:type="paragraph" w:styleId="Funotentext">
    <w:name w:val="footnote text"/>
    <w:basedOn w:val="Standard"/>
    <w:link w:val="FunotentextZeichen"/>
    <w:uiPriority w:val="99"/>
    <w:unhideWhenUsed/>
    <w:rsid w:val="00E335A6"/>
    <w:pPr>
      <w:spacing w:before="0" w:after="0"/>
    </w:pPr>
    <w:rPr>
      <w:sz w:val="18"/>
      <w:szCs w:val="22"/>
    </w:rPr>
  </w:style>
  <w:style w:type="character" w:customStyle="1" w:styleId="FunotentextZeichen">
    <w:name w:val="Fußnotentext Zeichen"/>
    <w:basedOn w:val="Absatzstandardschriftart"/>
    <w:link w:val="Funotentext"/>
    <w:uiPriority w:val="99"/>
    <w:rsid w:val="00E335A6"/>
    <w:rPr>
      <w:sz w:val="18"/>
      <w:szCs w:val="22"/>
    </w:rPr>
  </w:style>
  <w:style w:type="character" w:styleId="Funotenzeichen">
    <w:name w:val="footnote reference"/>
    <w:basedOn w:val="Absatzstandardschriftart"/>
    <w:uiPriority w:val="99"/>
    <w:unhideWhenUsed/>
    <w:rsid w:val="00042146"/>
    <w:rPr>
      <w:vertAlign w:val="superscript"/>
    </w:rPr>
  </w:style>
  <w:style w:type="character" w:styleId="Link">
    <w:name w:val="Hyperlink"/>
    <w:basedOn w:val="Absatzstandardschriftart"/>
    <w:uiPriority w:val="99"/>
    <w:unhideWhenUsed/>
    <w:rsid w:val="003A4081"/>
    <w:rPr>
      <w:color w:val="0000FF" w:themeColor="hyperlink"/>
      <w:u w:val="single"/>
    </w:rPr>
  </w:style>
  <w:style w:type="paragraph" w:styleId="Dokumentstruktur">
    <w:name w:val="Document Map"/>
    <w:basedOn w:val="Standard"/>
    <w:link w:val="DokumentstrukturZeichen"/>
    <w:uiPriority w:val="99"/>
    <w:semiHidden/>
    <w:unhideWhenUsed/>
    <w:rsid w:val="001516B6"/>
    <w:pPr>
      <w:spacing w:before="0" w:after="0"/>
    </w:pPr>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516B6"/>
    <w:rPr>
      <w:rFonts w:ascii="Lucida Grande" w:hAnsi="Lucida Grande" w:cs="Lucida Grande"/>
    </w:rPr>
  </w:style>
  <w:style w:type="paragraph" w:styleId="Fuzeile">
    <w:name w:val="footer"/>
    <w:basedOn w:val="Standard"/>
    <w:link w:val="FuzeileZeichen"/>
    <w:uiPriority w:val="99"/>
    <w:unhideWhenUsed/>
    <w:rsid w:val="00A144BA"/>
    <w:pPr>
      <w:tabs>
        <w:tab w:val="center" w:pos="4536"/>
        <w:tab w:val="right" w:pos="9072"/>
      </w:tabs>
      <w:spacing w:before="0" w:after="0"/>
    </w:pPr>
  </w:style>
  <w:style w:type="character" w:customStyle="1" w:styleId="FuzeileZeichen">
    <w:name w:val="Fußzeile Zeichen"/>
    <w:basedOn w:val="Absatzstandardschriftart"/>
    <w:link w:val="Fuzeile"/>
    <w:uiPriority w:val="99"/>
    <w:rsid w:val="00A144BA"/>
    <w:rPr>
      <w:sz w:val="28"/>
    </w:rPr>
  </w:style>
  <w:style w:type="character" w:customStyle="1" w:styleId="berschrift3Zeichen">
    <w:name w:val="Überschrift 3 Zeichen"/>
    <w:basedOn w:val="Absatzstandardschriftart"/>
    <w:link w:val="berschrift3"/>
    <w:uiPriority w:val="9"/>
    <w:rsid w:val="009125F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3C01E6"/>
    <w:pPr>
      <w:numPr>
        <w:numId w:val="0"/>
      </w:numPr>
      <w:spacing w:beforeAutospacing="0" w:afterAutospacing="0" w:line="276" w:lineRule="auto"/>
      <w:outlineLvl w:val="9"/>
    </w:pPr>
    <w:rPr>
      <w:color w:val="365F91" w:themeColor="accent1" w:themeShade="BF"/>
      <w:sz w:val="28"/>
      <w:szCs w:val="28"/>
      <w:lang w:eastAsia="en-US"/>
    </w:rPr>
  </w:style>
  <w:style w:type="paragraph" w:styleId="Verzeichnis1">
    <w:name w:val="toc 1"/>
    <w:basedOn w:val="Standard"/>
    <w:next w:val="Standard"/>
    <w:autoRedefine/>
    <w:uiPriority w:val="39"/>
    <w:unhideWhenUsed/>
    <w:rsid w:val="003C01E6"/>
  </w:style>
  <w:style w:type="paragraph" w:styleId="Verzeichnis2">
    <w:name w:val="toc 2"/>
    <w:basedOn w:val="Standard"/>
    <w:next w:val="Standard"/>
    <w:autoRedefine/>
    <w:uiPriority w:val="39"/>
    <w:unhideWhenUsed/>
    <w:rsid w:val="003C01E6"/>
    <w:pPr>
      <w:ind w:left="240"/>
    </w:pPr>
  </w:style>
  <w:style w:type="character" w:styleId="Betont">
    <w:name w:val="Strong"/>
    <w:basedOn w:val="Absatzstandardschriftart"/>
    <w:uiPriority w:val="22"/>
    <w:qFormat/>
    <w:rsid w:val="00DD7FB9"/>
    <w:rPr>
      <w:b/>
      <w:bCs/>
    </w:rPr>
  </w:style>
  <w:style w:type="character" w:styleId="GesichteterLink">
    <w:name w:val="FollowedHyperlink"/>
    <w:basedOn w:val="Absatzstandardschriftart"/>
    <w:uiPriority w:val="99"/>
    <w:semiHidden/>
    <w:unhideWhenUsed/>
    <w:rsid w:val="00DD7FB9"/>
    <w:rPr>
      <w:color w:val="800080" w:themeColor="followedHyperlink"/>
      <w:u w:val="single"/>
    </w:rPr>
  </w:style>
  <w:style w:type="numbering" w:styleId="111111">
    <w:name w:val="Outline List 2"/>
    <w:basedOn w:val="KeineListe"/>
    <w:uiPriority w:val="99"/>
    <w:semiHidden/>
    <w:unhideWhenUsed/>
    <w:rsid w:val="002429AD"/>
    <w:pPr>
      <w:numPr>
        <w:numId w:val="24"/>
      </w:numPr>
    </w:pPr>
  </w:style>
  <w:style w:type="paragraph" w:styleId="StandardWeb">
    <w:name w:val="Normal (Web)"/>
    <w:basedOn w:val="Standard"/>
    <w:uiPriority w:val="99"/>
    <w:semiHidden/>
    <w:unhideWhenUsed/>
    <w:rsid w:val="002D3E7B"/>
    <w:rPr>
      <w:rFonts w:ascii="Times" w:hAnsi="Times" w:cs="Times New Roman"/>
      <w:sz w:val="20"/>
      <w:szCs w:val="20"/>
    </w:rPr>
  </w:style>
  <w:style w:type="character" w:customStyle="1" w:styleId="jnentitel">
    <w:name w:val="jnentitel"/>
    <w:basedOn w:val="Absatzstandardschriftart"/>
    <w:rsid w:val="004A4DB7"/>
  </w:style>
  <w:style w:type="paragraph" w:styleId="Bearbeitung">
    <w:name w:val="Revision"/>
    <w:hidden/>
    <w:uiPriority w:val="99"/>
    <w:semiHidden/>
    <w:rsid w:val="00262375"/>
  </w:style>
  <w:style w:type="character" w:customStyle="1" w:styleId="berschrift4Zeichen">
    <w:name w:val="Überschrift 4 Zeichen"/>
    <w:basedOn w:val="Absatzstandardschriftart"/>
    <w:link w:val="berschrift4"/>
    <w:uiPriority w:val="9"/>
    <w:semiHidden/>
    <w:rsid w:val="009125F7"/>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semiHidden/>
    <w:rsid w:val="009125F7"/>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9125F7"/>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9125F7"/>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9125F7"/>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9125F7"/>
    <w:rPr>
      <w:rFonts w:asciiTheme="majorHAnsi" w:eastAsiaTheme="majorEastAsia" w:hAnsiTheme="majorHAnsi" w:cstheme="majorBidi"/>
      <w:i/>
      <w:iCs/>
      <w:color w:val="404040" w:themeColor="text1" w:themeTint="BF"/>
      <w:sz w:val="20"/>
      <w:szCs w:val="20"/>
    </w:rPr>
  </w:style>
  <w:style w:type="character" w:customStyle="1" w:styleId="playerscommitteetext">
    <w:name w:val="players_committee_text"/>
    <w:basedOn w:val="Absatzstandardschriftart"/>
    <w:rsid w:val="00455BF9"/>
  </w:style>
  <w:style w:type="paragraph" w:customStyle="1" w:styleId="ManualNumPar1">
    <w:name w:val="Manual NumPar 1"/>
    <w:basedOn w:val="Standard"/>
    <w:next w:val="Standard"/>
    <w:rsid w:val="005A227E"/>
    <w:pPr>
      <w:spacing w:before="120" w:beforeAutospacing="0" w:after="120" w:afterAutospacing="0"/>
      <w:ind w:left="850" w:hanging="850"/>
      <w:jc w:val="both"/>
    </w:pPr>
    <w:rPr>
      <w:rFonts w:ascii="Times New Roman" w:eastAsiaTheme="minorHAnsi" w:hAnsi="Times New Roman" w:cs="Times New Roman"/>
      <w:szCs w:val="22"/>
      <w:lang w:val="en-GB" w:eastAsia="en-US"/>
    </w:rPr>
  </w:style>
  <w:style w:type="paragraph" w:customStyle="1" w:styleId="Point0number">
    <w:name w:val="Point 0 (number)"/>
    <w:basedOn w:val="Standard"/>
    <w:rsid w:val="005A227E"/>
    <w:pPr>
      <w:numPr>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1number">
    <w:name w:val="Point 1 (number)"/>
    <w:basedOn w:val="Standard"/>
    <w:rsid w:val="005A227E"/>
    <w:pPr>
      <w:numPr>
        <w:ilvl w:val="2"/>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2number">
    <w:name w:val="Point 2 (number)"/>
    <w:basedOn w:val="Standard"/>
    <w:rsid w:val="005A227E"/>
    <w:pPr>
      <w:numPr>
        <w:ilvl w:val="4"/>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3number">
    <w:name w:val="Point 3 (number)"/>
    <w:basedOn w:val="Standard"/>
    <w:rsid w:val="005A227E"/>
    <w:pPr>
      <w:numPr>
        <w:ilvl w:val="6"/>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0letter">
    <w:name w:val="Point 0 (letter)"/>
    <w:basedOn w:val="Standard"/>
    <w:rsid w:val="005A227E"/>
    <w:pPr>
      <w:numPr>
        <w:ilvl w:val="1"/>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1letter">
    <w:name w:val="Point 1 (letter)"/>
    <w:basedOn w:val="Standard"/>
    <w:rsid w:val="005A227E"/>
    <w:pPr>
      <w:numPr>
        <w:ilvl w:val="3"/>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2letter">
    <w:name w:val="Point 2 (letter)"/>
    <w:basedOn w:val="Standard"/>
    <w:rsid w:val="005A227E"/>
    <w:pPr>
      <w:numPr>
        <w:ilvl w:val="5"/>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3letter">
    <w:name w:val="Point 3 (letter)"/>
    <w:basedOn w:val="Standard"/>
    <w:rsid w:val="005A227E"/>
    <w:pPr>
      <w:numPr>
        <w:ilvl w:val="7"/>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4letter">
    <w:name w:val="Point 4 (letter)"/>
    <w:basedOn w:val="Standard"/>
    <w:rsid w:val="005A227E"/>
    <w:pPr>
      <w:numPr>
        <w:ilvl w:val="8"/>
        <w:numId w:val="38"/>
      </w:numPr>
      <w:spacing w:before="120" w:beforeAutospacing="0" w:after="120" w:afterAutospacing="0"/>
      <w:jc w:val="both"/>
    </w:pPr>
    <w:rPr>
      <w:rFonts w:ascii="Times New Roman" w:eastAsiaTheme="minorHAnsi" w:hAnsi="Times New Roman" w:cs="Times New Roman"/>
      <w:szCs w:val="2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1DBB"/>
    <w:pPr>
      <w:spacing w:before="100" w:beforeAutospacing="1" w:after="100" w:afterAutospacing="1"/>
    </w:pPr>
  </w:style>
  <w:style w:type="paragraph" w:styleId="berschrift1">
    <w:name w:val="heading 1"/>
    <w:basedOn w:val="Standard"/>
    <w:next w:val="Standard"/>
    <w:link w:val="berschrift1Zeichen"/>
    <w:uiPriority w:val="9"/>
    <w:qFormat/>
    <w:rsid w:val="005D68C6"/>
    <w:pPr>
      <w:keepNext/>
      <w:keepLines/>
      <w:numPr>
        <w:numId w:val="42"/>
      </w:numPr>
      <w:spacing w:before="480" w:after="0"/>
      <w:outlineLvl w:val="0"/>
    </w:pPr>
    <w:rPr>
      <w:rFonts w:asciiTheme="majorHAnsi" w:eastAsiaTheme="majorEastAsia" w:hAnsiTheme="majorHAnsi" w:cstheme="majorBidi"/>
      <w:b/>
      <w:bCs/>
      <w:szCs w:val="32"/>
    </w:rPr>
  </w:style>
  <w:style w:type="paragraph" w:styleId="berschrift2">
    <w:name w:val="heading 2"/>
    <w:basedOn w:val="Standard"/>
    <w:next w:val="Standard"/>
    <w:link w:val="berschrift2Zeichen"/>
    <w:uiPriority w:val="9"/>
    <w:unhideWhenUsed/>
    <w:rsid w:val="005D68C6"/>
    <w:pPr>
      <w:keepNext/>
      <w:keepLines/>
      <w:numPr>
        <w:ilvl w:val="1"/>
        <w:numId w:val="42"/>
      </w:numPr>
      <w:outlineLvl w:val="1"/>
    </w:pPr>
    <w:rPr>
      <w:rFonts w:asciiTheme="majorHAnsi" w:eastAsiaTheme="majorEastAsia" w:hAnsiTheme="majorHAnsi" w:cstheme="majorBidi"/>
      <w:b/>
      <w:bCs/>
      <w:sz w:val="28"/>
      <w:szCs w:val="26"/>
    </w:rPr>
  </w:style>
  <w:style w:type="paragraph" w:styleId="berschrift3">
    <w:name w:val="heading 3"/>
    <w:basedOn w:val="Standard"/>
    <w:next w:val="Standard"/>
    <w:link w:val="berschrift3Zeichen"/>
    <w:uiPriority w:val="9"/>
    <w:unhideWhenUsed/>
    <w:qFormat/>
    <w:rsid w:val="005D68C6"/>
    <w:pPr>
      <w:keepNext/>
      <w:keepLines/>
      <w:spacing w:before="200" w:after="0"/>
      <w:outlineLvl w:val="2"/>
    </w:pPr>
    <w:rPr>
      <w:rFonts w:asciiTheme="majorHAnsi" w:eastAsiaTheme="majorEastAsia" w:hAnsiTheme="majorHAnsi" w:cstheme="majorBidi"/>
      <w:b/>
      <w:bCs/>
    </w:rPr>
  </w:style>
  <w:style w:type="paragraph" w:styleId="berschrift4">
    <w:name w:val="heading 4"/>
    <w:basedOn w:val="Standard"/>
    <w:next w:val="Standard"/>
    <w:link w:val="berschrift4Zeichen"/>
    <w:uiPriority w:val="9"/>
    <w:semiHidden/>
    <w:unhideWhenUsed/>
    <w:qFormat/>
    <w:rsid w:val="005D68C6"/>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semiHidden/>
    <w:unhideWhenUsed/>
    <w:qFormat/>
    <w:rsid w:val="005D68C6"/>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5D68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5D68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5D68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5D68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11E29"/>
    <w:pPr>
      <w:numPr>
        <w:numId w:val="27"/>
      </w:numPr>
      <w:contextualSpacing/>
    </w:pPr>
  </w:style>
  <w:style w:type="character" w:customStyle="1" w:styleId="berschrift1Zeichen">
    <w:name w:val="Überschrift 1 Zeichen"/>
    <w:basedOn w:val="Absatzstandardschriftart"/>
    <w:link w:val="berschrift1"/>
    <w:uiPriority w:val="9"/>
    <w:rsid w:val="005D68C6"/>
    <w:rPr>
      <w:rFonts w:asciiTheme="majorHAnsi" w:eastAsiaTheme="majorEastAsia" w:hAnsiTheme="majorHAnsi" w:cstheme="majorBidi"/>
      <w:b/>
      <w:bCs/>
      <w:sz w:val="32"/>
      <w:szCs w:val="32"/>
    </w:rPr>
  </w:style>
  <w:style w:type="character" w:customStyle="1" w:styleId="berschrift2Zeichen">
    <w:name w:val="Überschrift 2 Zeichen"/>
    <w:basedOn w:val="Absatzstandardschriftart"/>
    <w:link w:val="berschrift2"/>
    <w:uiPriority w:val="9"/>
    <w:rsid w:val="005D68C6"/>
    <w:rPr>
      <w:rFonts w:asciiTheme="majorHAnsi" w:eastAsiaTheme="majorEastAsia" w:hAnsiTheme="majorHAnsi" w:cstheme="majorBidi"/>
      <w:b/>
      <w:bCs/>
      <w:sz w:val="28"/>
      <w:szCs w:val="26"/>
    </w:rPr>
  </w:style>
  <w:style w:type="paragraph" w:styleId="Kopfzeile">
    <w:name w:val="header"/>
    <w:basedOn w:val="Standard"/>
    <w:link w:val="KopfzeileZeichen"/>
    <w:uiPriority w:val="99"/>
    <w:unhideWhenUsed/>
    <w:rsid w:val="00600DD5"/>
    <w:pPr>
      <w:tabs>
        <w:tab w:val="center" w:pos="4536"/>
        <w:tab w:val="right" w:pos="9072"/>
      </w:tabs>
      <w:spacing w:before="0" w:after="0"/>
    </w:pPr>
  </w:style>
  <w:style w:type="character" w:customStyle="1" w:styleId="KopfzeileZeichen">
    <w:name w:val="Kopfzeile Zeichen"/>
    <w:basedOn w:val="Absatzstandardschriftart"/>
    <w:link w:val="Kopfzeile"/>
    <w:uiPriority w:val="99"/>
    <w:rsid w:val="00600DD5"/>
    <w:rPr>
      <w:sz w:val="28"/>
    </w:rPr>
  </w:style>
  <w:style w:type="character" w:styleId="Seitenzahl">
    <w:name w:val="page number"/>
    <w:basedOn w:val="Absatzstandardschriftart"/>
    <w:uiPriority w:val="99"/>
    <w:semiHidden/>
    <w:unhideWhenUsed/>
    <w:rsid w:val="00600DD5"/>
  </w:style>
  <w:style w:type="paragraph" w:styleId="Sprechblasentext">
    <w:name w:val="Balloon Text"/>
    <w:basedOn w:val="Standard"/>
    <w:link w:val="SprechblasentextZeichen"/>
    <w:uiPriority w:val="99"/>
    <w:semiHidden/>
    <w:unhideWhenUsed/>
    <w:rsid w:val="00E15207"/>
    <w:pPr>
      <w:spacing w:before="0" w:after="0"/>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15207"/>
    <w:rPr>
      <w:rFonts w:ascii="Segoe UI" w:hAnsi="Segoe UI" w:cs="Segoe UI"/>
      <w:sz w:val="18"/>
      <w:szCs w:val="18"/>
    </w:rPr>
  </w:style>
  <w:style w:type="character" w:styleId="Kommentarzeichen">
    <w:name w:val="annotation reference"/>
    <w:basedOn w:val="Absatzstandardschriftart"/>
    <w:uiPriority w:val="99"/>
    <w:semiHidden/>
    <w:unhideWhenUsed/>
    <w:rsid w:val="006E6B84"/>
    <w:rPr>
      <w:sz w:val="16"/>
      <w:szCs w:val="16"/>
    </w:rPr>
  </w:style>
  <w:style w:type="paragraph" w:styleId="Kommentartext">
    <w:name w:val="annotation text"/>
    <w:basedOn w:val="Standard"/>
    <w:link w:val="KommentartextZeichen"/>
    <w:uiPriority w:val="99"/>
    <w:semiHidden/>
    <w:unhideWhenUsed/>
    <w:rsid w:val="006E6B84"/>
    <w:rPr>
      <w:sz w:val="20"/>
      <w:szCs w:val="20"/>
    </w:rPr>
  </w:style>
  <w:style w:type="character" w:customStyle="1" w:styleId="KommentartextZeichen">
    <w:name w:val="Kommentartext Zeichen"/>
    <w:basedOn w:val="Absatzstandardschriftart"/>
    <w:link w:val="Kommentartext"/>
    <w:uiPriority w:val="99"/>
    <w:semiHidden/>
    <w:rsid w:val="006E6B84"/>
    <w:rPr>
      <w:sz w:val="20"/>
      <w:szCs w:val="20"/>
    </w:rPr>
  </w:style>
  <w:style w:type="paragraph" w:styleId="Kommentarthema">
    <w:name w:val="annotation subject"/>
    <w:basedOn w:val="Kommentartext"/>
    <w:next w:val="Kommentartext"/>
    <w:link w:val="KommentarthemaZeichen"/>
    <w:uiPriority w:val="99"/>
    <w:semiHidden/>
    <w:unhideWhenUsed/>
    <w:rsid w:val="006E6B84"/>
    <w:rPr>
      <w:b/>
      <w:bCs/>
    </w:rPr>
  </w:style>
  <w:style w:type="character" w:customStyle="1" w:styleId="KommentarthemaZeichen">
    <w:name w:val="Kommentarthema Zeichen"/>
    <w:basedOn w:val="KommentartextZeichen"/>
    <w:link w:val="Kommentarthema"/>
    <w:uiPriority w:val="99"/>
    <w:semiHidden/>
    <w:rsid w:val="006E6B84"/>
    <w:rPr>
      <w:b/>
      <w:bCs/>
      <w:sz w:val="20"/>
      <w:szCs w:val="20"/>
    </w:rPr>
  </w:style>
  <w:style w:type="paragraph" w:customStyle="1" w:styleId="Default">
    <w:name w:val="Default"/>
    <w:rsid w:val="004F664B"/>
    <w:pPr>
      <w:autoSpaceDE w:val="0"/>
      <w:autoSpaceDN w:val="0"/>
      <w:adjustRightInd w:val="0"/>
    </w:pPr>
    <w:rPr>
      <w:rFonts w:ascii="Times New Roman" w:hAnsi="Times New Roman" w:cs="Times New Roman"/>
      <w:color w:val="000000"/>
    </w:rPr>
  </w:style>
  <w:style w:type="paragraph" w:styleId="Funotentext">
    <w:name w:val="footnote text"/>
    <w:basedOn w:val="Standard"/>
    <w:link w:val="FunotentextZeichen"/>
    <w:uiPriority w:val="99"/>
    <w:unhideWhenUsed/>
    <w:rsid w:val="00E335A6"/>
    <w:pPr>
      <w:spacing w:before="0" w:after="0"/>
    </w:pPr>
    <w:rPr>
      <w:sz w:val="18"/>
      <w:szCs w:val="22"/>
    </w:rPr>
  </w:style>
  <w:style w:type="character" w:customStyle="1" w:styleId="FunotentextZeichen">
    <w:name w:val="Fußnotentext Zeichen"/>
    <w:basedOn w:val="Absatzstandardschriftart"/>
    <w:link w:val="Funotentext"/>
    <w:uiPriority w:val="99"/>
    <w:rsid w:val="00E335A6"/>
    <w:rPr>
      <w:sz w:val="18"/>
      <w:szCs w:val="22"/>
    </w:rPr>
  </w:style>
  <w:style w:type="character" w:styleId="Funotenzeichen">
    <w:name w:val="footnote reference"/>
    <w:basedOn w:val="Absatzstandardschriftart"/>
    <w:uiPriority w:val="99"/>
    <w:unhideWhenUsed/>
    <w:rsid w:val="00042146"/>
    <w:rPr>
      <w:vertAlign w:val="superscript"/>
    </w:rPr>
  </w:style>
  <w:style w:type="character" w:styleId="Link">
    <w:name w:val="Hyperlink"/>
    <w:basedOn w:val="Absatzstandardschriftart"/>
    <w:uiPriority w:val="99"/>
    <w:unhideWhenUsed/>
    <w:rsid w:val="003A4081"/>
    <w:rPr>
      <w:color w:val="0000FF" w:themeColor="hyperlink"/>
      <w:u w:val="single"/>
    </w:rPr>
  </w:style>
  <w:style w:type="paragraph" w:styleId="Dokumentstruktur">
    <w:name w:val="Document Map"/>
    <w:basedOn w:val="Standard"/>
    <w:link w:val="DokumentstrukturZeichen"/>
    <w:uiPriority w:val="99"/>
    <w:semiHidden/>
    <w:unhideWhenUsed/>
    <w:rsid w:val="001516B6"/>
    <w:pPr>
      <w:spacing w:before="0" w:after="0"/>
    </w:pPr>
    <w:rPr>
      <w:rFonts w:ascii="Lucida Grande" w:hAnsi="Lucida Grande" w:cs="Lucida Grande"/>
    </w:rPr>
  </w:style>
  <w:style w:type="character" w:customStyle="1" w:styleId="DokumentstrukturZeichen">
    <w:name w:val="Dokumentstruktur Zeichen"/>
    <w:basedOn w:val="Absatzstandardschriftart"/>
    <w:link w:val="Dokumentstruktur"/>
    <w:uiPriority w:val="99"/>
    <w:semiHidden/>
    <w:rsid w:val="001516B6"/>
    <w:rPr>
      <w:rFonts w:ascii="Lucida Grande" w:hAnsi="Lucida Grande" w:cs="Lucida Grande"/>
    </w:rPr>
  </w:style>
  <w:style w:type="paragraph" w:styleId="Fuzeile">
    <w:name w:val="footer"/>
    <w:basedOn w:val="Standard"/>
    <w:link w:val="FuzeileZeichen"/>
    <w:uiPriority w:val="99"/>
    <w:unhideWhenUsed/>
    <w:rsid w:val="00A144BA"/>
    <w:pPr>
      <w:tabs>
        <w:tab w:val="center" w:pos="4536"/>
        <w:tab w:val="right" w:pos="9072"/>
      </w:tabs>
      <w:spacing w:before="0" w:after="0"/>
    </w:pPr>
  </w:style>
  <w:style w:type="character" w:customStyle="1" w:styleId="FuzeileZeichen">
    <w:name w:val="Fußzeile Zeichen"/>
    <w:basedOn w:val="Absatzstandardschriftart"/>
    <w:link w:val="Fuzeile"/>
    <w:uiPriority w:val="99"/>
    <w:rsid w:val="00A144BA"/>
    <w:rPr>
      <w:sz w:val="28"/>
    </w:rPr>
  </w:style>
  <w:style w:type="character" w:customStyle="1" w:styleId="berschrift3Zeichen">
    <w:name w:val="Überschrift 3 Zeichen"/>
    <w:basedOn w:val="Absatzstandardschriftart"/>
    <w:link w:val="berschrift3"/>
    <w:uiPriority w:val="9"/>
    <w:rsid w:val="009125F7"/>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3C01E6"/>
    <w:pPr>
      <w:numPr>
        <w:numId w:val="0"/>
      </w:numPr>
      <w:spacing w:beforeAutospacing="0" w:afterAutospacing="0" w:line="276" w:lineRule="auto"/>
      <w:outlineLvl w:val="9"/>
    </w:pPr>
    <w:rPr>
      <w:color w:val="365F91" w:themeColor="accent1" w:themeShade="BF"/>
      <w:sz w:val="28"/>
      <w:szCs w:val="28"/>
      <w:lang w:eastAsia="en-US"/>
    </w:rPr>
  </w:style>
  <w:style w:type="paragraph" w:styleId="Verzeichnis1">
    <w:name w:val="toc 1"/>
    <w:basedOn w:val="Standard"/>
    <w:next w:val="Standard"/>
    <w:autoRedefine/>
    <w:uiPriority w:val="39"/>
    <w:unhideWhenUsed/>
    <w:rsid w:val="003C01E6"/>
  </w:style>
  <w:style w:type="paragraph" w:styleId="Verzeichnis2">
    <w:name w:val="toc 2"/>
    <w:basedOn w:val="Standard"/>
    <w:next w:val="Standard"/>
    <w:autoRedefine/>
    <w:uiPriority w:val="39"/>
    <w:unhideWhenUsed/>
    <w:rsid w:val="003C01E6"/>
    <w:pPr>
      <w:ind w:left="240"/>
    </w:pPr>
  </w:style>
  <w:style w:type="character" w:styleId="Betont">
    <w:name w:val="Strong"/>
    <w:basedOn w:val="Absatzstandardschriftart"/>
    <w:uiPriority w:val="22"/>
    <w:qFormat/>
    <w:rsid w:val="00DD7FB9"/>
    <w:rPr>
      <w:b/>
      <w:bCs/>
    </w:rPr>
  </w:style>
  <w:style w:type="character" w:styleId="GesichteterLink">
    <w:name w:val="FollowedHyperlink"/>
    <w:basedOn w:val="Absatzstandardschriftart"/>
    <w:uiPriority w:val="99"/>
    <w:semiHidden/>
    <w:unhideWhenUsed/>
    <w:rsid w:val="00DD7FB9"/>
    <w:rPr>
      <w:color w:val="800080" w:themeColor="followedHyperlink"/>
      <w:u w:val="single"/>
    </w:rPr>
  </w:style>
  <w:style w:type="numbering" w:styleId="111111">
    <w:name w:val="Outline List 2"/>
    <w:basedOn w:val="KeineListe"/>
    <w:uiPriority w:val="99"/>
    <w:semiHidden/>
    <w:unhideWhenUsed/>
    <w:rsid w:val="002429AD"/>
    <w:pPr>
      <w:numPr>
        <w:numId w:val="24"/>
      </w:numPr>
    </w:pPr>
  </w:style>
  <w:style w:type="paragraph" w:styleId="StandardWeb">
    <w:name w:val="Normal (Web)"/>
    <w:basedOn w:val="Standard"/>
    <w:uiPriority w:val="99"/>
    <w:semiHidden/>
    <w:unhideWhenUsed/>
    <w:rsid w:val="002D3E7B"/>
    <w:rPr>
      <w:rFonts w:ascii="Times" w:hAnsi="Times" w:cs="Times New Roman"/>
      <w:sz w:val="20"/>
      <w:szCs w:val="20"/>
    </w:rPr>
  </w:style>
  <w:style w:type="character" w:customStyle="1" w:styleId="jnentitel">
    <w:name w:val="jnentitel"/>
    <w:basedOn w:val="Absatzstandardschriftart"/>
    <w:rsid w:val="004A4DB7"/>
  </w:style>
  <w:style w:type="paragraph" w:styleId="Bearbeitung">
    <w:name w:val="Revision"/>
    <w:hidden/>
    <w:uiPriority w:val="99"/>
    <w:semiHidden/>
    <w:rsid w:val="00262375"/>
  </w:style>
  <w:style w:type="character" w:customStyle="1" w:styleId="berschrift4Zeichen">
    <w:name w:val="Überschrift 4 Zeichen"/>
    <w:basedOn w:val="Absatzstandardschriftart"/>
    <w:link w:val="berschrift4"/>
    <w:uiPriority w:val="9"/>
    <w:semiHidden/>
    <w:rsid w:val="009125F7"/>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semiHidden/>
    <w:rsid w:val="009125F7"/>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9125F7"/>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9125F7"/>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9125F7"/>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9125F7"/>
    <w:rPr>
      <w:rFonts w:asciiTheme="majorHAnsi" w:eastAsiaTheme="majorEastAsia" w:hAnsiTheme="majorHAnsi" w:cstheme="majorBidi"/>
      <w:i/>
      <w:iCs/>
      <w:color w:val="404040" w:themeColor="text1" w:themeTint="BF"/>
      <w:sz w:val="20"/>
      <w:szCs w:val="20"/>
    </w:rPr>
  </w:style>
  <w:style w:type="character" w:customStyle="1" w:styleId="playerscommitteetext">
    <w:name w:val="players_committee_text"/>
    <w:basedOn w:val="Absatzstandardschriftart"/>
    <w:rsid w:val="00455BF9"/>
  </w:style>
  <w:style w:type="paragraph" w:customStyle="1" w:styleId="ManualNumPar1">
    <w:name w:val="Manual NumPar 1"/>
    <w:basedOn w:val="Standard"/>
    <w:next w:val="Standard"/>
    <w:rsid w:val="005A227E"/>
    <w:pPr>
      <w:spacing w:before="120" w:beforeAutospacing="0" w:after="120" w:afterAutospacing="0"/>
      <w:ind w:left="850" w:hanging="850"/>
      <w:jc w:val="both"/>
    </w:pPr>
    <w:rPr>
      <w:rFonts w:ascii="Times New Roman" w:eastAsiaTheme="minorHAnsi" w:hAnsi="Times New Roman" w:cs="Times New Roman"/>
      <w:szCs w:val="22"/>
      <w:lang w:val="en-GB" w:eastAsia="en-US"/>
    </w:rPr>
  </w:style>
  <w:style w:type="paragraph" w:customStyle="1" w:styleId="Point0number">
    <w:name w:val="Point 0 (number)"/>
    <w:basedOn w:val="Standard"/>
    <w:rsid w:val="005A227E"/>
    <w:pPr>
      <w:numPr>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1number">
    <w:name w:val="Point 1 (number)"/>
    <w:basedOn w:val="Standard"/>
    <w:rsid w:val="005A227E"/>
    <w:pPr>
      <w:numPr>
        <w:ilvl w:val="2"/>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2number">
    <w:name w:val="Point 2 (number)"/>
    <w:basedOn w:val="Standard"/>
    <w:rsid w:val="005A227E"/>
    <w:pPr>
      <w:numPr>
        <w:ilvl w:val="4"/>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3number">
    <w:name w:val="Point 3 (number)"/>
    <w:basedOn w:val="Standard"/>
    <w:rsid w:val="005A227E"/>
    <w:pPr>
      <w:numPr>
        <w:ilvl w:val="6"/>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0letter">
    <w:name w:val="Point 0 (letter)"/>
    <w:basedOn w:val="Standard"/>
    <w:rsid w:val="005A227E"/>
    <w:pPr>
      <w:numPr>
        <w:ilvl w:val="1"/>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1letter">
    <w:name w:val="Point 1 (letter)"/>
    <w:basedOn w:val="Standard"/>
    <w:rsid w:val="005A227E"/>
    <w:pPr>
      <w:numPr>
        <w:ilvl w:val="3"/>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2letter">
    <w:name w:val="Point 2 (letter)"/>
    <w:basedOn w:val="Standard"/>
    <w:rsid w:val="005A227E"/>
    <w:pPr>
      <w:numPr>
        <w:ilvl w:val="5"/>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3letter">
    <w:name w:val="Point 3 (letter)"/>
    <w:basedOn w:val="Standard"/>
    <w:rsid w:val="005A227E"/>
    <w:pPr>
      <w:numPr>
        <w:ilvl w:val="7"/>
        <w:numId w:val="38"/>
      </w:numPr>
      <w:spacing w:before="120" w:beforeAutospacing="0" w:after="120" w:afterAutospacing="0"/>
      <w:jc w:val="both"/>
    </w:pPr>
    <w:rPr>
      <w:rFonts w:ascii="Times New Roman" w:eastAsiaTheme="minorHAnsi" w:hAnsi="Times New Roman" w:cs="Times New Roman"/>
      <w:szCs w:val="22"/>
      <w:lang w:val="en-GB" w:eastAsia="en-US"/>
    </w:rPr>
  </w:style>
  <w:style w:type="paragraph" w:customStyle="1" w:styleId="Point4letter">
    <w:name w:val="Point 4 (letter)"/>
    <w:basedOn w:val="Standard"/>
    <w:rsid w:val="005A227E"/>
    <w:pPr>
      <w:numPr>
        <w:ilvl w:val="8"/>
        <w:numId w:val="38"/>
      </w:numPr>
      <w:spacing w:before="120" w:beforeAutospacing="0" w:after="120" w:afterAutospacing="0"/>
      <w:jc w:val="both"/>
    </w:pPr>
    <w:rPr>
      <w:rFonts w:ascii="Times New Roman" w:eastAsiaTheme="minorHAnsi" w:hAnsi="Times New Roman" w:cs="Times New Roman"/>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2489">
      <w:bodyDiv w:val="1"/>
      <w:marLeft w:val="0"/>
      <w:marRight w:val="0"/>
      <w:marTop w:val="0"/>
      <w:marBottom w:val="0"/>
      <w:divBdr>
        <w:top w:val="none" w:sz="0" w:space="0" w:color="auto"/>
        <w:left w:val="none" w:sz="0" w:space="0" w:color="auto"/>
        <w:bottom w:val="none" w:sz="0" w:space="0" w:color="auto"/>
        <w:right w:val="none" w:sz="0" w:space="0" w:color="auto"/>
      </w:divBdr>
    </w:div>
    <w:div w:id="183984436">
      <w:bodyDiv w:val="1"/>
      <w:marLeft w:val="0"/>
      <w:marRight w:val="0"/>
      <w:marTop w:val="0"/>
      <w:marBottom w:val="0"/>
      <w:divBdr>
        <w:top w:val="none" w:sz="0" w:space="0" w:color="auto"/>
        <w:left w:val="none" w:sz="0" w:space="0" w:color="auto"/>
        <w:bottom w:val="none" w:sz="0" w:space="0" w:color="auto"/>
        <w:right w:val="none" w:sz="0" w:space="0" w:color="auto"/>
      </w:divBdr>
      <w:divsChild>
        <w:div w:id="1086221347">
          <w:marLeft w:val="0"/>
          <w:marRight w:val="0"/>
          <w:marTop w:val="0"/>
          <w:marBottom w:val="0"/>
          <w:divBdr>
            <w:top w:val="none" w:sz="0" w:space="0" w:color="auto"/>
            <w:left w:val="none" w:sz="0" w:space="0" w:color="auto"/>
            <w:bottom w:val="none" w:sz="0" w:space="0" w:color="auto"/>
            <w:right w:val="none" w:sz="0" w:space="0" w:color="auto"/>
          </w:divBdr>
        </w:div>
        <w:div w:id="438110345">
          <w:marLeft w:val="0"/>
          <w:marRight w:val="0"/>
          <w:marTop w:val="0"/>
          <w:marBottom w:val="0"/>
          <w:divBdr>
            <w:top w:val="none" w:sz="0" w:space="0" w:color="auto"/>
            <w:left w:val="none" w:sz="0" w:space="0" w:color="auto"/>
            <w:bottom w:val="none" w:sz="0" w:space="0" w:color="auto"/>
            <w:right w:val="none" w:sz="0" w:space="0" w:color="auto"/>
          </w:divBdr>
        </w:div>
        <w:div w:id="25763463">
          <w:marLeft w:val="0"/>
          <w:marRight w:val="0"/>
          <w:marTop w:val="0"/>
          <w:marBottom w:val="0"/>
          <w:divBdr>
            <w:top w:val="none" w:sz="0" w:space="0" w:color="auto"/>
            <w:left w:val="none" w:sz="0" w:space="0" w:color="auto"/>
            <w:bottom w:val="none" w:sz="0" w:space="0" w:color="auto"/>
            <w:right w:val="none" w:sz="0" w:space="0" w:color="auto"/>
          </w:divBdr>
        </w:div>
        <w:div w:id="877666090">
          <w:marLeft w:val="0"/>
          <w:marRight w:val="0"/>
          <w:marTop w:val="0"/>
          <w:marBottom w:val="0"/>
          <w:divBdr>
            <w:top w:val="none" w:sz="0" w:space="0" w:color="auto"/>
            <w:left w:val="none" w:sz="0" w:space="0" w:color="auto"/>
            <w:bottom w:val="none" w:sz="0" w:space="0" w:color="auto"/>
            <w:right w:val="none" w:sz="0" w:space="0" w:color="auto"/>
          </w:divBdr>
        </w:div>
        <w:div w:id="621302423">
          <w:marLeft w:val="0"/>
          <w:marRight w:val="0"/>
          <w:marTop w:val="0"/>
          <w:marBottom w:val="0"/>
          <w:divBdr>
            <w:top w:val="none" w:sz="0" w:space="0" w:color="auto"/>
            <w:left w:val="none" w:sz="0" w:space="0" w:color="auto"/>
            <w:bottom w:val="none" w:sz="0" w:space="0" w:color="auto"/>
            <w:right w:val="none" w:sz="0" w:space="0" w:color="auto"/>
          </w:divBdr>
        </w:div>
      </w:divsChild>
    </w:div>
    <w:div w:id="214437738">
      <w:bodyDiv w:val="1"/>
      <w:marLeft w:val="0"/>
      <w:marRight w:val="0"/>
      <w:marTop w:val="0"/>
      <w:marBottom w:val="0"/>
      <w:divBdr>
        <w:top w:val="none" w:sz="0" w:space="0" w:color="auto"/>
        <w:left w:val="none" w:sz="0" w:space="0" w:color="auto"/>
        <w:bottom w:val="none" w:sz="0" w:space="0" w:color="auto"/>
        <w:right w:val="none" w:sz="0" w:space="0" w:color="auto"/>
      </w:divBdr>
      <w:divsChild>
        <w:div w:id="65149746">
          <w:marLeft w:val="0"/>
          <w:marRight w:val="0"/>
          <w:marTop w:val="0"/>
          <w:marBottom w:val="0"/>
          <w:divBdr>
            <w:top w:val="none" w:sz="0" w:space="0" w:color="auto"/>
            <w:left w:val="none" w:sz="0" w:space="0" w:color="auto"/>
            <w:bottom w:val="none" w:sz="0" w:space="0" w:color="auto"/>
            <w:right w:val="none" w:sz="0" w:space="0" w:color="auto"/>
          </w:divBdr>
        </w:div>
        <w:div w:id="1441027044">
          <w:marLeft w:val="0"/>
          <w:marRight w:val="0"/>
          <w:marTop w:val="0"/>
          <w:marBottom w:val="0"/>
          <w:divBdr>
            <w:top w:val="none" w:sz="0" w:space="0" w:color="auto"/>
            <w:left w:val="none" w:sz="0" w:space="0" w:color="auto"/>
            <w:bottom w:val="none" w:sz="0" w:space="0" w:color="auto"/>
            <w:right w:val="none" w:sz="0" w:space="0" w:color="auto"/>
          </w:divBdr>
        </w:div>
        <w:div w:id="2136672243">
          <w:marLeft w:val="0"/>
          <w:marRight w:val="0"/>
          <w:marTop w:val="0"/>
          <w:marBottom w:val="0"/>
          <w:divBdr>
            <w:top w:val="none" w:sz="0" w:space="0" w:color="auto"/>
            <w:left w:val="none" w:sz="0" w:space="0" w:color="auto"/>
            <w:bottom w:val="none" w:sz="0" w:space="0" w:color="auto"/>
            <w:right w:val="none" w:sz="0" w:space="0" w:color="auto"/>
          </w:divBdr>
        </w:div>
      </w:divsChild>
    </w:div>
    <w:div w:id="233007994">
      <w:bodyDiv w:val="1"/>
      <w:marLeft w:val="0"/>
      <w:marRight w:val="0"/>
      <w:marTop w:val="0"/>
      <w:marBottom w:val="0"/>
      <w:divBdr>
        <w:top w:val="none" w:sz="0" w:space="0" w:color="auto"/>
        <w:left w:val="none" w:sz="0" w:space="0" w:color="auto"/>
        <w:bottom w:val="none" w:sz="0" w:space="0" w:color="auto"/>
        <w:right w:val="none" w:sz="0" w:space="0" w:color="auto"/>
      </w:divBdr>
      <w:divsChild>
        <w:div w:id="1851605798">
          <w:marLeft w:val="0"/>
          <w:marRight w:val="0"/>
          <w:marTop w:val="0"/>
          <w:marBottom w:val="0"/>
          <w:divBdr>
            <w:top w:val="none" w:sz="0" w:space="0" w:color="auto"/>
            <w:left w:val="none" w:sz="0" w:space="0" w:color="auto"/>
            <w:bottom w:val="none" w:sz="0" w:space="0" w:color="auto"/>
            <w:right w:val="none" w:sz="0" w:space="0" w:color="auto"/>
          </w:divBdr>
        </w:div>
        <w:div w:id="917060911">
          <w:marLeft w:val="0"/>
          <w:marRight w:val="0"/>
          <w:marTop w:val="0"/>
          <w:marBottom w:val="0"/>
          <w:divBdr>
            <w:top w:val="none" w:sz="0" w:space="0" w:color="auto"/>
            <w:left w:val="none" w:sz="0" w:space="0" w:color="auto"/>
            <w:bottom w:val="none" w:sz="0" w:space="0" w:color="auto"/>
            <w:right w:val="none" w:sz="0" w:space="0" w:color="auto"/>
          </w:divBdr>
        </w:div>
        <w:div w:id="1313682883">
          <w:marLeft w:val="0"/>
          <w:marRight w:val="0"/>
          <w:marTop w:val="0"/>
          <w:marBottom w:val="0"/>
          <w:divBdr>
            <w:top w:val="none" w:sz="0" w:space="0" w:color="auto"/>
            <w:left w:val="none" w:sz="0" w:space="0" w:color="auto"/>
            <w:bottom w:val="none" w:sz="0" w:space="0" w:color="auto"/>
            <w:right w:val="none" w:sz="0" w:space="0" w:color="auto"/>
          </w:divBdr>
        </w:div>
        <w:div w:id="611209539">
          <w:marLeft w:val="0"/>
          <w:marRight w:val="0"/>
          <w:marTop w:val="0"/>
          <w:marBottom w:val="0"/>
          <w:divBdr>
            <w:top w:val="none" w:sz="0" w:space="0" w:color="auto"/>
            <w:left w:val="none" w:sz="0" w:space="0" w:color="auto"/>
            <w:bottom w:val="none" w:sz="0" w:space="0" w:color="auto"/>
            <w:right w:val="none" w:sz="0" w:space="0" w:color="auto"/>
          </w:divBdr>
        </w:div>
      </w:divsChild>
    </w:div>
    <w:div w:id="295187114">
      <w:bodyDiv w:val="1"/>
      <w:marLeft w:val="0"/>
      <w:marRight w:val="0"/>
      <w:marTop w:val="0"/>
      <w:marBottom w:val="0"/>
      <w:divBdr>
        <w:top w:val="none" w:sz="0" w:space="0" w:color="auto"/>
        <w:left w:val="none" w:sz="0" w:space="0" w:color="auto"/>
        <w:bottom w:val="none" w:sz="0" w:space="0" w:color="auto"/>
        <w:right w:val="none" w:sz="0" w:space="0" w:color="auto"/>
      </w:divBdr>
      <w:divsChild>
        <w:div w:id="223103694">
          <w:marLeft w:val="0"/>
          <w:marRight w:val="0"/>
          <w:marTop w:val="0"/>
          <w:marBottom w:val="0"/>
          <w:divBdr>
            <w:top w:val="none" w:sz="0" w:space="0" w:color="auto"/>
            <w:left w:val="none" w:sz="0" w:space="0" w:color="auto"/>
            <w:bottom w:val="none" w:sz="0" w:space="0" w:color="auto"/>
            <w:right w:val="none" w:sz="0" w:space="0" w:color="auto"/>
          </w:divBdr>
        </w:div>
        <w:div w:id="1547832404">
          <w:marLeft w:val="0"/>
          <w:marRight w:val="0"/>
          <w:marTop w:val="0"/>
          <w:marBottom w:val="0"/>
          <w:divBdr>
            <w:top w:val="none" w:sz="0" w:space="0" w:color="auto"/>
            <w:left w:val="none" w:sz="0" w:space="0" w:color="auto"/>
            <w:bottom w:val="none" w:sz="0" w:space="0" w:color="auto"/>
            <w:right w:val="none" w:sz="0" w:space="0" w:color="auto"/>
          </w:divBdr>
        </w:div>
        <w:div w:id="2146654184">
          <w:marLeft w:val="0"/>
          <w:marRight w:val="0"/>
          <w:marTop w:val="0"/>
          <w:marBottom w:val="0"/>
          <w:divBdr>
            <w:top w:val="none" w:sz="0" w:space="0" w:color="auto"/>
            <w:left w:val="none" w:sz="0" w:space="0" w:color="auto"/>
            <w:bottom w:val="none" w:sz="0" w:space="0" w:color="auto"/>
            <w:right w:val="none" w:sz="0" w:space="0" w:color="auto"/>
          </w:divBdr>
        </w:div>
        <w:div w:id="253636765">
          <w:marLeft w:val="0"/>
          <w:marRight w:val="0"/>
          <w:marTop w:val="0"/>
          <w:marBottom w:val="0"/>
          <w:divBdr>
            <w:top w:val="none" w:sz="0" w:space="0" w:color="auto"/>
            <w:left w:val="none" w:sz="0" w:space="0" w:color="auto"/>
            <w:bottom w:val="none" w:sz="0" w:space="0" w:color="auto"/>
            <w:right w:val="none" w:sz="0" w:space="0" w:color="auto"/>
          </w:divBdr>
        </w:div>
      </w:divsChild>
    </w:div>
    <w:div w:id="362940787">
      <w:bodyDiv w:val="1"/>
      <w:marLeft w:val="0"/>
      <w:marRight w:val="0"/>
      <w:marTop w:val="0"/>
      <w:marBottom w:val="0"/>
      <w:divBdr>
        <w:top w:val="none" w:sz="0" w:space="0" w:color="auto"/>
        <w:left w:val="none" w:sz="0" w:space="0" w:color="auto"/>
        <w:bottom w:val="none" w:sz="0" w:space="0" w:color="auto"/>
        <w:right w:val="none" w:sz="0" w:space="0" w:color="auto"/>
      </w:divBdr>
    </w:div>
    <w:div w:id="460416755">
      <w:bodyDiv w:val="1"/>
      <w:marLeft w:val="0"/>
      <w:marRight w:val="0"/>
      <w:marTop w:val="0"/>
      <w:marBottom w:val="0"/>
      <w:divBdr>
        <w:top w:val="none" w:sz="0" w:space="0" w:color="auto"/>
        <w:left w:val="none" w:sz="0" w:space="0" w:color="auto"/>
        <w:bottom w:val="none" w:sz="0" w:space="0" w:color="auto"/>
        <w:right w:val="none" w:sz="0" w:space="0" w:color="auto"/>
      </w:divBdr>
      <w:divsChild>
        <w:div w:id="866333514">
          <w:marLeft w:val="0"/>
          <w:marRight w:val="0"/>
          <w:marTop w:val="0"/>
          <w:marBottom w:val="0"/>
          <w:divBdr>
            <w:top w:val="none" w:sz="0" w:space="0" w:color="auto"/>
            <w:left w:val="none" w:sz="0" w:space="0" w:color="auto"/>
            <w:bottom w:val="none" w:sz="0" w:space="0" w:color="auto"/>
            <w:right w:val="none" w:sz="0" w:space="0" w:color="auto"/>
          </w:divBdr>
        </w:div>
        <w:div w:id="867987118">
          <w:marLeft w:val="0"/>
          <w:marRight w:val="0"/>
          <w:marTop w:val="0"/>
          <w:marBottom w:val="0"/>
          <w:divBdr>
            <w:top w:val="none" w:sz="0" w:space="0" w:color="auto"/>
            <w:left w:val="none" w:sz="0" w:space="0" w:color="auto"/>
            <w:bottom w:val="none" w:sz="0" w:space="0" w:color="auto"/>
            <w:right w:val="none" w:sz="0" w:space="0" w:color="auto"/>
          </w:divBdr>
        </w:div>
        <w:div w:id="1063915189">
          <w:marLeft w:val="0"/>
          <w:marRight w:val="0"/>
          <w:marTop w:val="0"/>
          <w:marBottom w:val="0"/>
          <w:divBdr>
            <w:top w:val="none" w:sz="0" w:space="0" w:color="auto"/>
            <w:left w:val="none" w:sz="0" w:space="0" w:color="auto"/>
            <w:bottom w:val="none" w:sz="0" w:space="0" w:color="auto"/>
            <w:right w:val="none" w:sz="0" w:space="0" w:color="auto"/>
          </w:divBdr>
        </w:div>
        <w:div w:id="804467329">
          <w:marLeft w:val="0"/>
          <w:marRight w:val="0"/>
          <w:marTop w:val="0"/>
          <w:marBottom w:val="0"/>
          <w:divBdr>
            <w:top w:val="none" w:sz="0" w:space="0" w:color="auto"/>
            <w:left w:val="none" w:sz="0" w:space="0" w:color="auto"/>
            <w:bottom w:val="none" w:sz="0" w:space="0" w:color="auto"/>
            <w:right w:val="none" w:sz="0" w:space="0" w:color="auto"/>
          </w:divBdr>
        </w:div>
        <w:div w:id="374744988">
          <w:marLeft w:val="0"/>
          <w:marRight w:val="0"/>
          <w:marTop w:val="0"/>
          <w:marBottom w:val="0"/>
          <w:divBdr>
            <w:top w:val="none" w:sz="0" w:space="0" w:color="auto"/>
            <w:left w:val="none" w:sz="0" w:space="0" w:color="auto"/>
            <w:bottom w:val="none" w:sz="0" w:space="0" w:color="auto"/>
            <w:right w:val="none" w:sz="0" w:space="0" w:color="auto"/>
          </w:divBdr>
        </w:div>
        <w:div w:id="360519463">
          <w:marLeft w:val="0"/>
          <w:marRight w:val="0"/>
          <w:marTop w:val="0"/>
          <w:marBottom w:val="0"/>
          <w:divBdr>
            <w:top w:val="none" w:sz="0" w:space="0" w:color="auto"/>
            <w:left w:val="none" w:sz="0" w:space="0" w:color="auto"/>
            <w:bottom w:val="none" w:sz="0" w:space="0" w:color="auto"/>
            <w:right w:val="none" w:sz="0" w:space="0" w:color="auto"/>
          </w:divBdr>
        </w:div>
        <w:div w:id="1250046709">
          <w:marLeft w:val="0"/>
          <w:marRight w:val="0"/>
          <w:marTop w:val="0"/>
          <w:marBottom w:val="0"/>
          <w:divBdr>
            <w:top w:val="none" w:sz="0" w:space="0" w:color="auto"/>
            <w:left w:val="none" w:sz="0" w:space="0" w:color="auto"/>
            <w:bottom w:val="none" w:sz="0" w:space="0" w:color="auto"/>
            <w:right w:val="none" w:sz="0" w:space="0" w:color="auto"/>
          </w:divBdr>
        </w:div>
        <w:div w:id="2109152289">
          <w:marLeft w:val="0"/>
          <w:marRight w:val="0"/>
          <w:marTop w:val="0"/>
          <w:marBottom w:val="0"/>
          <w:divBdr>
            <w:top w:val="none" w:sz="0" w:space="0" w:color="auto"/>
            <w:left w:val="none" w:sz="0" w:space="0" w:color="auto"/>
            <w:bottom w:val="none" w:sz="0" w:space="0" w:color="auto"/>
            <w:right w:val="none" w:sz="0" w:space="0" w:color="auto"/>
          </w:divBdr>
        </w:div>
      </w:divsChild>
    </w:div>
    <w:div w:id="485752860">
      <w:bodyDiv w:val="1"/>
      <w:marLeft w:val="0"/>
      <w:marRight w:val="0"/>
      <w:marTop w:val="0"/>
      <w:marBottom w:val="0"/>
      <w:divBdr>
        <w:top w:val="none" w:sz="0" w:space="0" w:color="auto"/>
        <w:left w:val="none" w:sz="0" w:space="0" w:color="auto"/>
        <w:bottom w:val="none" w:sz="0" w:space="0" w:color="auto"/>
        <w:right w:val="none" w:sz="0" w:space="0" w:color="auto"/>
      </w:divBdr>
      <w:divsChild>
        <w:div w:id="794904328">
          <w:marLeft w:val="0"/>
          <w:marRight w:val="0"/>
          <w:marTop w:val="0"/>
          <w:marBottom w:val="0"/>
          <w:divBdr>
            <w:top w:val="none" w:sz="0" w:space="0" w:color="auto"/>
            <w:left w:val="none" w:sz="0" w:space="0" w:color="auto"/>
            <w:bottom w:val="none" w:sz="0" w:space="0" w:color="auto"/>
            <w:right w:val="none" w:sz="0" w:space="0" w:color="auto"/>
          </w:divBdr>
        </w:div>
        <w:div w:id="569267123">
          <w:marLeft w:val="0"/>
          <w:marRight w:val="0"/>
          <w:marTop w:val="0"/>
          <w:marBottom w:val="0"/>
          <w:divBdr>
            <w:top w:val="none" w:sz="0" w:space="0" w:color="auto"/>
            <w:left w:val="none" w:sz="0" w:space="0" w:color="auto"/>
            <w:bottom w:val="none" w:sz="0" w:space="0" w:color="auto"/>
            <w:right w:val="none" w:sz="0" w:space="0" w:color="auto"/>
          </w:divBdr>
        </w:div>
        <w:div w:id="259291460">
          <w:marLeft w:val="0"/>
          <w:marRight w:val="0"/>
          <w:marTop w:val="0"/>
          <w:marBottom w:val="0"/>
          <w:divBdr>
            <w:top w:val="none" w:sz="0" w:space="0" w:color="auto"/>
            <w:left w:val="none" w:sz="0" w:space="0" w:color="auto"/>
            <w:bottom w:val="none" w:sz="0" w:space="0" w:color="auto"/>
            <w:right w:val="none" w:sz="0" w:space="0" w:color="auto"/>
          </w:divBdr>
        </w:div>
        <w:div w:id="1094664215">
          <w:marLeft w:val="0"/>
          <w:marRight w:val="0"/>
          <w:marTop w:val="0"/>
          <w:marBottom w:val="0"/>
          <w:divBdr>
            <w:top w:val="none" w:sz="0" w:space="0" w:color="auto"/>
            <w:left w:val="none" w:sz="0" w:space="0" w:color="auto"/>
            <w:bottom w:val="none" w:sz="0" w:space="0" w:color="auto"/>
            <w:right w:val="none" w:sz="0" w:space="0" w:color="auto"/>
          </w:divBdr>
        </w:div>
        <w:div w:id="1441103218">
          <w:marLeft w:val="0"/>
          <w:marRight w:val="0"/>
          <w:marTop w:val="0"/>
          <w:marBottom w:val="0"/>
          <w:divBdr>
            <w:top w:val="none" w:sz="0" w:space="0" w:color="auto"/>
            <w:left w:val="none" w:sz="0" w:space="0" w:color="auto"/>
            <w:bottom w:val="none" w:sz="0" w:space="0" w:color="auto"/>
            <w:right w:val="none" w:sz="0" w:space="0" w:color="auto"/>
          </w:divBdr>
        </w:div>
        <w:div w:id="736975595">
          <w:marLeft w:val="0"/>
          <w:marRight w:val="0"/>
          <w:marTop w:val="0"/>
          <w:marBottom w:val="0"/>
          <w:divBdr>
            <w:top w:val="none" w:sz="0" w:space="0" w:color="auto"/>
            <w:left w:val="none" w:sz="0" w:space="0" w:color="auto"/>
            <w:bottom w:val="none" w:sz="0" w:space="0" w:color="auto"/>
            <w:right w:val="none" w:sz="0" w:space="0" w:color="auto"/>
          </w:divBdr>
        </w:div>
      </w:divsChild>
    </w:div>
    <w:div w:id="493230826">
      <w:bodyDiv w:val="1"/>
      <w:marLeft w:val="0"/>
      <w:marRight w:val="0"/>
      <w:marTop w:val="0"/>
      <w:marBottom w:val="0"/>
      <w:divBdr>
        <w:top w:val="none" w:sz="0" w:space="0" w:color="auto"/>
        <w:left w:val="none" w:sz="0" w:space="0" w:color="auto"/>
        <w:bottom w:val="none" w:sz="0" w:space="0" w:color="auto"/>
        <w:right w:val="none" w:sz="0" w:space="0" w:color="auto"/>
      </w:divBdr>
      <w:divsChild>
        <w:div w:id="1934432327">
          <w:marLeft w:val="0"/>
          <w:marRight w:val="0"/>
          <w:marTop w:val="0"/>
          <w:marBottom w:val="0"/>
          <w:divBdr>
            <w:top w:val="none" w:sz="0" w:space="0" w:color="auto"/>
            <w:left w:val="none" w:sz="0" w:space="0" w:color="auto"/>
            <w:bottom w:val="none" w:sz="0" w:space="0" w:color="auto"/>
            <w:right w:val="none" w:sz="0" w:space="0" w:color="auto"/>
          </w:divBdr>
        </w:div>
        <w:div w:id="1595356314">
          <w:marLeft w:val="0"/>
          <w:marRight w:val="0"/>
          <w:marTop w:val="0"/>
          <w:marBottom w:val="0"/>
          <w:divBdr>
            <w:top w:val="none" w:sz="0" w:space="0" w:color="auto"/>
            <w:left w:val="none" w:sz="0" w:space="0" w:color="auto"/>
            <w:bottom w:val="none" w:sz="0" w:space="0" w:color="auto"/>
            <w:right w:val="none" w:sz="0" w:space="0" w:color="auto"/>
          </w:divBdr>
        </w:div>
        <w:div w:id="4601227">
          <w:marLeft w:val="0"/>
          <w:marRight w:val="0"/>
          <w:marTop w:val="0"/>
          <w:marBottom w:val="0"/>
          <w:divBdr>
            <w:top w:val="none" w:sz="0" w:space="0" w:color="auto"/>
            <w:left w:val="none" w:sz="0" w:space="0" w:color="auto"/>
            <w:bottom w:val="none" w:sz="0" w:space="0" w:color="auto"/>
            <w:right w:val="none" w:sz="0" w:space="0" w:color="auto"/>
          </w:divBdr>
        </w:div>
      </w:divsChild>
    </w:div>
    <w:div w:id="575669063">
      <w:bodyDiv w:val="1"/>
      <w:marLeft w:val="0"/>
      <w:marRight w:val="0"/>
      <w:marTop w:val="0"/>
      <w:marBottom w:val="0"/>
      <w:divBdr>
        <w:top w:val="none" w:sz="0" w:space="0" w:color="auto"/>
        <w:left w:val="none" w:sz="0" w:space="0" w:color="auto"/>
        <w:bottom w:val="none" w:sz="0" w:space="0" w:color="auto"/>
        <w:right w:val="none" w:sz="0" w:space="0" w:color="auto"/>
      </w:divBdr>
    </w:div>
    <w:div w:id="657658482">
      <w:bodyDiv w:val="1"/>
      <w:marLeft w:val="0"/>
      <w:marRight w:val="0"/>
      <w:marTop w:val="0"/>
      <w:marBottom w:val="0"/>
      <w:divBdr>
        <w:top w:val="none" w:sz="0" w:space="0" w:color="auto"/>
        <w:left w:val="none" w:sz="0" w:space="0" w:color="auto"/>
        <w:bottom w:val="none" w:sz="0" w:space="0" w:color="auto"/>
        <w:right w:val="none" w:sz="0" w:space="0" w:color="auto"/>
      </w:divBdr>
      <w:divsChild>
        <w:div w:id="1793086387">
          <w:marLeft w:val="0"/>
          <w:marRight w:val="0"/>
          <w:marTop w:val="0"/>
          <w:marBottom w:val="0"/>
          <w:divBdr>
            <w:top w:val="none" w:sz="0" w:space="0" w:color="auto"/>
            <w:left w:val="none" w:sz="0" w:space="0" w:color="auto"/>
            <w:bottom w:val="none" w:sz="0" w:space="0" w:color="auto"/>
            <w:right w:val="none" w:sz="0" w:space="0" w:color="auto"/>
          </w:divBdr>
        </w:div>
        <w:div w:id="196160851">
          <w:marLeft w:val="0"/>
          <w:marRight w:val="0"/>
          <w:marTop w:val="0"/>
          <w:marBottom w:val="0"/>
          <w:divBdr>
            <w:top w:val="none" w:sz="0" w:space="0" w:color="auto"/>
            <w:left w:val="none" w:sz="0" w:space="0" w:color="auto"/>
            <w:bottom w:val="none" w:sz="0" w:space="0" w:color="auto"/>
            <w:right w:val="none" w:sz="0" w:space="0" w:color="auto"/>
          </w:divBdr>
        </w:div>
        <w:div w:id="1581914635">
          <w:marLeft w:val="0"/>
          <w:marRight w:val="0"/>
          <w:marTop w:val="0"/>
          <w:marBottom w:val="0"/>
          <w:divBdr>
            <w:top w:val="none" w:sz="0" w:space="0" w:color="auto"/>
            <w:left w:val="none" w:sz="0" w:space="0" w:color="auto"/>
            <w:bottom w:val="none" w:sz="0" w:space="0" w:color="auto"/>
            <w:right w:val="none" w:sz="0" w:space="0" w:color="auto"/>
          </w:divBdr>
        </w:div>
        <w:div w:id="724795145">
          <w:marLeft w:val="0"/>
          <w:marRight w:val="0"/>
          <w:marTop w:val="0"/>
          <w:marBottom w:val="0"/>
          <w:divBdr>
            <w:top w:val="none" w:sz="0" w:space="0" w:color="auto"/>
            <w:left w:val="none" w:sz="0" w:space="0" w:color="auto"/>
            <w:bottom w:val="none" w:sz="0" w:space="0" w:color="auto"/>
            <w:right w:val="none" w:sz="0" w:space="0" w:color="auto"/>
          </w:divBdr>
        </w:div>
        <w:div w:id="666133529">
          <w:marLeft w:val="0"/>
          <w:marRight w:val="0"/>
          <w:marTop w:val="0"/>
          <w:marBottom w:val="0"/>
          <w:divBdr>
            <w:top w:val="none" w:sz="0" w:space="0" w:color="auto"/>
            <w:left w:val="none" w:sz="0" w:space="0" w:color="auto"/>
            <w:bottom w:val="none" w:sz="0" w:space="0" w:color="auto"/>
            <w:right w:val="none" w:sz="0" w:space="0" w:color="auto"/>
          </w:divBdr>
        </w:div>
        <w:div w:id="1185554512">
          <w:marLeft w:val="0"/>
          <w:marRight w:val="0"/>
          <w:marTop w:val="0"/>
          <w:marBottom w:val="0"/>
          <w:divBdr>
            <w:top w:val="none" w:sz="0" w:space="0" w:color="auto"/>
            <w:left w:val="none" w:sz="0" w:space="0" w:color="auto"/>
            <w:bottom w:val="none" w:sz="0" w:space="0" w:color="auto"/>
            <w:right w:val="none" w:sz="0" w:space="0" w:color="auto"/>
          </w:divBdr>
        </w:div>
        <w:div w:id="722557359">
          <w:marLeft w:val="0"/>
          <w:marRight w:val="0"/>
          <w:marTop w:val="0"/>
          <w:marBottom w:val="0"/>
          <w:divBdr>
            <w:top w:val="none" w:sz="0" w:space="0" w:color="auto"/>
            <w:left w:val="none" w:sz="0" w:space="0" w:color="auto"/>
            <w:bottom w:val="none" w:sz="0" w:space="0" w:color="auto"/>
            <w:right w:val="none" w:sz="0" w:space="0" w:color="auto"/>
          </w:divBdr>
        </w:div>
      </w:divsChild>
    </w:div>
    <w:div w:id="676807240">
      <w:bodyDiv w:val="1"/>
      <w:marLeft w:val="0"/>
      <w:marRight w:val="0"/>
      <w:marTop w:val="0"/>
      <w:marBottom w:val="0"/>
      <w:divBdr>
        <w:top w:val="none" w:sz="0" w:space="0" w:color="auto"/>
        <w:left w:val="none" w:sz="0" w:space="0" w:color="auto"/>
        <w:bottom w:val="none" w:sz="0" w:space="0" w:color="auto"/>
        <w:right w:val="none" w:sz="0" w:space="0" w:color="auto"/>
      </w:divBdr>
      <w:divsChild>
        <w:div w:id="1285186082">
          <w:marLeft w:val="0"/>
          <w:marRight w:val="0"/>
          <w:marTop w:val="0"/>
          <w:marBottom w:val="0"/>
          <w:divBdr>
            <w:top w:val="none" w:sz="0" w:space="0" w:color="auto"/>
            <w:left w:val="none" w:sz="0" w:space="0" w:color="auto"/>
            <w:bottom w:val="none" w:sz="0" w:space="0" w:color="auto"/>
            <w:right w:val="none" w:sz="0" w:space="0" w:color="auto"/>
          </w:divBdr>
        </w:div>
        <w:div w:id="1371607002">
          <w:marLeft w:val="0"/>
          <w:marRight w:val="0"/>
          <w:marTop w:val="0"/>
          <w:marBottom w:val="0"/>
          <w:divBdr>
            <w:top w:val="none" w:sz="0" w:space="0" w:color="auto"/>
            <w:left w:val="none" w:sz="0" w:space="0" w:color="auto"/>
            <w:bottom w:val="none" w:sz="0" w:space="0" w:color="auto"/>
            <w:right w:val="none" w:sz="0" w:space="0" w:color="auto"/>
          </w:divBdr>
        </w:div>
        <w:div w:id="1030180395">
          <w:marLeft w:val="0"/>
          <w:marRight w:val="0"/>
          <w:marTop w:val="0"/>
          <w:marBottom w:val="0"/>
          <w:divBdr>
            <w:top w:val="none" w:sz="0" w:space="0" w:color="auto"/>
            <w:left w:val="none" w:sz="0" w:space="0" w:color="auto"/>
            <w:bottom w:val="none" w:sz="0" w:space="0" w:color="auto"/>
            <w:right w:val="none" w:sz="0" w:space="0" w:color="auto"/>
          </w:divBdr>
        </w:div>
        <w:div w:id="1785802992">
          <w:marLeft w:val="0"/>
          <w:marRight w:val="0"/>
          <w:marTop w:val="0"/>
          <w:marBottom w:val="0"/>
          <w:divBdr>
            <w:top w:val="none" w:sz="0" w:space="0" w:color="auto"/>
            <w:left w:val="none" w:sz="0" w:space="0" w:color="auto"/>
            <w:bottom w:val="none" w:sz="0" w:space="0" w:color="auto"/>
            <w:right w:val="none" w:sz="0" w:space="0" w:color="auto"/>
          </w:divBdr>
        </w:div>
        <w:div w:id="5981510">
          <w:marLeft w:val="0"/>
          <w:marRight w:val="0"/>
          <w:marTop w:val="0"/>
          <w:marBottom w:val="0"/>
          <w:divBdr>
            <w:top w:val="none" w:sz="0" w:space="0" w:color="auto"/>
            <w:left w:val="none" w:sz="0" w:space="0" w:color="auto"/>
            <w:bottom w:val="none" w:sz="0" w:space="0" w:color="auto"/>
            <w:right w:val="none" w:sz="0" w:space="0" w:color="auto"/>
          </w:divBdr>
        </w:div>
      </w:divsChild>
    </w:div>
    <w:div w:id="720442296">
      <w:bodyDiv w:val="1"/>
      <w:marLeft w:val="0"/>
      <w:marRight w:val="0"/>
      <w:marTop w:val="0"/>
      <w:marBottom w:val="0"/>
      <w:divBdr>
        <w:top w:val="none" w:sz="0" w:space="0" w:color="auto"/>
        <w:left w:val="none" w:sz="0" w:space="0" w:color="auto"/>
        <w:bottom w:val="none" w:sz="0" w:space="0" w:color="auto"/>
        <w:right w:val="none" w:sz="0" w:space="0" w:color="auto"/>
      </w:divBdr>
      <w:divsChild>
        <w:div w:id="1828591768">
          <w:marLeft w:val="0"/>
          <w:marRight w:val="0"/>
          <w:marTop w:val="0"/>
          <w:marBottom w:val="0"/>
          <w:divBdr>
            <w:top w:val="none" w:sz="0" w:space="0" w:color="auto"/>
            <w:left w:val="none" w:sz="0" w:space="0" w:color="auto"/>
            <w:bottom w:val="none" w:sz="0" w:space="0" w:color="auto"/>
            <w:right w:val="none" w:sz="0" w:space="0" w:color="auto"/>
          </w:divBdr>
        </w:div>
        <w:div w:id="224948736">
          <w:marLeft w:val="0"/>
          <w:marRight w:val="0"/>
          <w:marTop w:val="0"/>
          <w:marBottom w:val="0"/>
          <w:divBdr>
            <w:top w:val="none" w:sz="0" w:space="0" w:color="auto"/>
            <w:left w:val="none" w:sz="0" w:space="0" w:color="auto"/>
            <w:bottom w:val="none" w:sz="0" w:space="0" w:color="auto"/>
            <w:right w:val="none" w:sz="0" w:space="0" w:color="auto"/>
          </w:divBdr>
        </w:div>
        <w:div w:id="372970328">
          <w:marLeft w:val="0"/>
          <w:marRight w:val="0"/>
          <w:marTop w:val="0"/>
          <w:marBottom w:val="0"/>
          <w:divBdr>
            <w:top w:val="none" w:sz="0" w:space="0" w:color="auto"/>
            <w:left w:val="none" w:sz="0" w:space="0" w:color="auto"/>
            <w:bottom w:val="none" w:sz="0" w:space="0" w:color="auto"/>
            <w:right w:val="none" w:sz="0" w:space="0" w:color="auto"/>
          </w:divBdr>
        </w:div>
        <w:div w:id="432092661">
          <w:marLeft w:val="0"/>
          <w:marRight w:val="0"/>
          <w:marTop w:val="0"/>
          <w:marBottom w:val="0"/>
          <w:divBdr>
            <w:top w:val="none" w:sz="0" w:space="0" w:color="auto"/>
            <w:left w:val="none" w:sz="0" w:space="0" w:color="auto"/>
            <w:bottom w:val="none" w:sz="0" w:space="0" w:color="auto"/>
            <w:right w:val="none" w:sz="0" w:space="0" w:color="auto"/>
          </w:divBdr>
        </w:div>
        <w:div w:id="133260495">
          <w:marLeft w:val="0"/>
          <w:marRight w:val="0"/>
          <w:marTop w:val="0"/>
          <w:marBottom w:val="0"/>
          <w:divBdr>
            <w:top w:val="none" w:sz="0" w:space="0" w:color="auto"/>
            <w:left w:val="none" w:sz="0" w:space="0" w:color="auto"/>
            <w:bottom w:val="none" w:sz="0" w:space="0" w:color="auto"/>
            <w:right w:val="none" w:sz="0" w:space="0" w:color="auto"/>
          </w:divBdr>
        </w:div>
        <w:div w:id="253637140">
          <w:marLeft w:val="0"/>
          <w:marRight w:val="0"/>
          <w:marTop w:val="0"/>
          <w:marBottom w:val="0"/>
          <w:divBdr>
            <w:top w:val="none" w:sz="0" w:space="0" w:color="auto"/>
            <w:left w:val="none" w:sz="0" w:space="0" w:color="auto"/>
            <w:bottom w:val="none" w:sz="0" w:space="0" w:color="auto"/>
            <w:right w:val="none" w:sz="0" w:space="0" w:color="auto"/>
          </w:divBdr>
        </w:div>
        <w:div w:id="773941857">
          <w:marLeft w:val="0"/>
          <w:marRight w:val="0"/>
          <w:marTop w:val="0"/>
          <w:marBottom w:val="0"/>
          <w:divBdr>
            <w:top w:val="none" w:sz="0" w:space="0" w:color="auto"/>
            <w:left w:val="none" w:sz="0" w:space="0" w:color="auto"/>
            <w:bottom w:val="none" w:sz="0" w:space="0" w:color="auto"/>
            <w:right w:val="none" w:sz="0" w:space="0" w:color="auto"/>
          </w:divBdr>
        </w:div>
      </w:divsChild>
    </w:div>
    <w:div w:id="754008770">
      <w:bodyDiv w:val="1"/>
      <w:marLeft w:val="0"/>
      <w:marRight w:val="0"/>
      <w:marTop w:val="0"/>
      <w:marBottom w:val="0"/>
      <w:divBdr>
        <w:top w:val="none" w:sz="0" w:space="0" w:color="auto"/>
        <w:left w:val="none" w:sz="0" w:space="0" w:color="auto"/>
        <w:bottom w:val="none" w:sz="0" w:space="0" w:color="auto"/>
        <w:right w:val="none" w:sz="0" w:space="0" w:color="auto"/>
      </w:divBdr>
      <w:divsChild>
        <w:div w:id="1730809701">
          <w:marLeft w:val="0"/>
          <w:marRight w:val="0"/>
          <w:marTop w:val="0"/>
          <w:marBottom w:val="0"/>
          <w:divBdr>
            <w:top w:val="none" w:sz="0" w:space="0" w:color="auto"/>
            <w:left w:val="none" w:sz="0" w:space="0" w:color="auto"/>
            <w:bottom w:val="none" w:sz="0" w:space="0" w:color="auto"/>
            <w:right w:val="none" w:sz="0" w:space="0" w:color="auto"/>
          </w:divBdr>
        </w:div>
        <w:div w:id="288098958">
          <w:marLeft w:val="0"/>
          <w:marRight w:val="0"/>
          <w:marTop w:val="0"/>
          <w:marBottom w:val="0"/>
          <w:divBdr>
            <w:top w:val="none" w:sz="0" w:space="0" w:color="auto"/>
            <w:left w:val="none" w:sz="0" w:space="0" w:color="auto"/>
            <w:bottom w:val="none" w:sz="0" w:space="0" w:color="auto"/>
            <w:right w:val="none" w:sz="0" w:space="0" w:color="auto"/>
          </w:divBdr>
        </w:div>
        <w:div w:id="2028292495">
          <w:marLeft w:val="0"/>
          <w:marRight w:val="0"/>
          <w:marTop w:val="0"/>
          <w:marBottom w:val="0"/>
          <w:divBdr>
            <w:top w:val="none" w:sz="0" w:space="0" w:color="auto"/>
            <w:left w:val="none" w:sz="0" w:space="0" w:color="auto"/>
            <w:bottom w:val="none" w:sz="0" w:space="0" w:color="auto"/>
            <w:right w:val="none" w:sz="0" w:space="0" w:color="auto"/>
          </w:divBdr>
        </w:div>
        <w:div w:id="290327955">
          <w:marLeft w:val="0"/>
          <w:marRight w:val="0"/>
          <w:marTop w:val="0"/>
          <w:marBottom w:val="0"/>
          <w:divBdr>
            <w:top w:val="none" w:sz="0" w:space="0" w:color="auto"/>
            <w:left w:val="none" w:sz="0" w:space="0" w:color="auto"/>
            <w:bottom w:val="none" w:sz="0" w:space="0" w:color="auto"/>
            <w:right w:val="none" w:sz="0" w:space="0" w:color="auto"/>
          </w:divBdr>
        </w:div>
        <w:div w:id="1191650993">
          <w:marLeft w:val="0"/>
          <w:marRight w:val="0"/>
          <w:marTop w:val="0"/>
          <w:marBottom w:val="0"/>
          <w:divBdr>
            <w:top w:val="none" w:sz="0" w:space="0" w:color="auto"/>
            <w:left w:val="none" w:sz="0" w:space="0" w:color="auto"/>
            <w:bottom w:val="none" w:sz="0" w:space="0" w:color="auto"/>
            <w:right w:val="none" w:sz="0" w:space="0" w:color="auto"/>
          </w:divBdr>
        </w:div>
        <w:div w:id="2028015514">
          <w:marLeft w:val="0"/>
          <w:marRight w:val="0"/>
          <w:marTop w:val="0"/>
          <w:marBottom w:val="0"/>
          <w:divBdr>
            <w:top w:val="none" w:sz="0" w:space="0" w:color="auto"/>
            <w:left w:val="none" w:sz="0" w:space="0" w:color="auto"/>
            <w:bottom w:val="none" w:sz="0" w:space="0" w:color="auto"/>
            <w:right w:val="none" w:sz="0" w:space="0" w:color="auto"/>
          </w:divBdr>
        </w:div>
        <w:div w:id="412120590">
          <w:marLeft w:val="0"/>
          <w:marRight w:val="0"/>
          <w:marTop w:val="0"/>
          <w:marBottom w:val="0"/>
          <w:divBdr>
            <w:top w:val="none" w:sz="0" w:space="0" w:color="auto"/>
            <w:left w:val="none" w:sz="0" w:space="0" w:color="auto"/>
            <w:bottom w:val="none" w:sz="0" w:space="0" w:color="auto"/>
            <w:right w:val="none" w:sz="0" w:space="0" w:color="auto"/>
          </w:divBdr>
        </w:div>
        <w:div w:id="452671613">
          <w:marLeft w:val="0"/>
          <w:marRight w:val="0"/>
          <w:marTop w:val="0"/>
          <w:marBottom w:val="0"/>
          <w:divBdr>
            <w:top w:val="none" w:sz="0" w:space="0" w:color="auto"/>
            <w:left w:val="none" w:sz="0" w:space="0" w:color="auto"/>
            <w:bottom w:val="none" w:sz="0" w:space="0" w:color="auto"/>
            <w:right w:val="none" w:sz="0" w:space="0" w:color="auto"/>
          </w:divBdr>
        </w:div>
        <w:div w:id="823544472">
          <w:marLeft w:val="0"/>
          <w:marRight w:val="0"/>
          <w:marTop w:val="0"/>
          <w:marBottom w:val="0"/>
          <w:divBdr>
            <w:top w:val="none" w:sz="0" w:space="0" w:color="auto"/>
            <w:left w:val="none" w:sz="0" w:space="0" w:color="auto"/>
            <w:bottom w:val="none" w:sz="0" w:space="0" w:color="auto"/>
            <w:right w:val="none" w:sz="0" w:space="0" w:color="auto"/>
          </w:divBdr>
        </w:div>
        <w:div w:id="890773481">
          <w:marLeft w:val="0"/>
          <w:marRight w:val="0"/>
          <w:marTop w:val="0"/>
          <w:marBottom w:val="0"/>
          <w:divBdr>
            <w:top w:val="none" w:sz="0" w:space="0" w:color="auto"/>
            <w:left w:val="none" w:sz="0" w:space="0" w:color="auto"/>
            <w:bottom w:val="none" w:sz="0" w:space="0" w:color="auto"/>
            <w:right w:val="none" w:sz="0" w:space="0" w:color="auto"/>
          </w:divBdr>
        </w:div>
        <w:div w:id="1083644914">
          <w:marLeft w:val="0"/>
          <w:marRight w:val="0"/>
          <w:marTop w:val="0"/>
          <w:marBottom w:val="0"/>
          <w:divBdr>
            <w:top w:val="none" w:sz="0" w:space="0" w:color="auto"/>
            <w:left w:val="none" w:sz="0" w:space="0" w:color="auto"/>
            <w:bottom w:val="none" w:sz="0" w:space="0" w:color="auto"/>
            <w:right w:val="none" w:sz="0" w:space="0" w:color="auto"/>
          </w:divBdr>
        </w:div>
        <w:div w:id="762604090">
          <w:marLeft w:val="0"/>
          <w:marRight w:val="0"/>
          <w:marTop w:val="0"/>
          <w:marBottom w:val="0"/>
          <w:divBdr>
            <w:top w:val="none" w:sz="0" w:space="0" w:color="auto"/>
            <w:left w:val="none" w:sz="0" w:space="0" w:color="auto"/>
            <w:bottom w:val="none" w:sz="0" w:space="0" w:color="auto"/>
            <w:right w:val="none" w:sz="0" w:space="0" w:color="auto"/>
          </w:divBdr>
        </w:div>
        <w:div w:id="1273172394">
          <w:marLeft w:val="0"/>
          <w:marRight w:val="0"/>
          <w:marTop w:val="0"/>
          <w:marBottom w:val="0"/>
          <w:divBdr>
            <w:top w:val="none" w:sz="0" w:space="0" w:color="auto"/>
            <w:left w:val="none" w:sz="0" w:space="0" w:color="auto"/>
            <w:bottom w:val="none" w:sz="0" w:space="0" w:color="auto"/>
            <w:right w:val="none" w:sz="0" w:space="0" w:color="auto"/>
          </w:divBdr>
        </w:div>
      </w:divsChild>
    </w:div>
    <w:div w:id="807550630">
      <w:bodyDiv w:val="1"/>
      <w:marLeft w:val="0"/>
      <w:marRight w:val="0"/>
      <w:marTop w:val="0"/>
      <w:marBottom w:val="0"/>
      <w:divBdr>
        <w:top w:val="none" w:sz="0" w:space="0" w:color="auto"/>
        <w:left w:val="none" w:sz="0" w:space="0" w:color="auto"/>
        <w:bottom w:val="none" w:sz="0" w:space="0" w:color="auto"/>
        <w:right w:val="none" w:sz="0" w:space="0" w:color="auto"/>
      </w:divBdr>
      <w:divsChild>
        <w:div w:id="1470635505">
          <w:marLeft w:val="0"/>
          <w:marRight w:val="0"/>
          <w:marTop w:val="0"/>
          <w:marBottom w:val="0"/>
          <w:divBdr>
            <w:top w:val="none" w:sz="0" w:space="0" w:color="auto"/>
            <w:left w:val="none" w:sz="0" w:space="0" w:color="auto"/>
            <w:bottom w:val="none" w:sz="0" w:space="0" w:color="auto"/>
            <w:right w:val="none" w:sz="0" w:space="0" w:color="auto"/>
          </w:divBdr>
        </w:div>
        <w:div w:id="1052269809">
          <w:marLeft w:val="0"/>
          <w:marRight w:val="0"/>
          <w:marTop w:val="0"/>
          <w:marBottom w:val="0"/>
          <w:divBdr>
            <w:top w:val="none" w:sz="0" w:space="0" w:color="auto"/>
            <w:left w:val="none" w:sz="0" w:space="0" w:color="auto"/>
            <w:bottom w:val="none" w:sz="0" w:space="0" w:color="auto"/>
            <w:right w:val="none" w:sz="0" w:space="0" w:color="auto"/>
          </w:divBdr>
        </w:div>
      </w:divsChild>
    </w:div>
    <w:div w:id="834688912">
      <w:bodyDiv w:val="1"/>
      <w:marLeft w:val="0"/>
      <w:marRight w:val="0"/>
      <w:marTop w:val="0"/>
      <w:marBottom w:val="0"/>
      <w:divBdr>
        <w:top w:val="none" w:sz="0" w:space="0" w:color="auto"/>
        <w:left w:val="none" w:sz="0" w:space="0" w:color="auto"/>
        <w:bottom w:val="none" w:sz="0" w:space="0" w:color="auto"/>
        <w:right w:val="none" w:sz="0" w:space="0" w:color="auto"/>
      </w:divBdr>
      <w:divsChild>
        <w:div w:id="543368192">
          <w:marLeft w:val="0"/>
          <w:marRight w:val="0"/>
          <w:marTop w:val="0"/>
          <w:marBottom w:val="0"/>
          <w:divBdr>
            <w:top w:val="none" w:sz="0" w:space="0" w:color="auto"/>
            <w:left w:val="none" w:sz="0" w:space="0" w:color="auto"/>
            <w:bottom w:val="none" w:sz="0" w:space="0" w:color="auto"/>
            <w:right w:val="none" w:sz="0" w:space="0" w:color="auto"/>
          </w:divBdr>
        </w:div>
        <w:div w:id="934047796">
          <w:marLeft w:val="0"/>
          <w:marRight w:val="0"/>
          <w:marTop w:val="0"/>
          <w:marBottom w:val="0"/>
          <w:divBdr>
            <w:top w:val="none" w:sz="0" w:space="0" w:color="auto"/>
            <w:left w:val="none" w:sz="0" w:space="0" w:color="auto"/>
            <w:bottom w:val="none" w:sz="0" w:space="0" w:color="auto"/>
            <w:right w:val="none" w:sz="0" w:space="0" w:color="auto"/>
          </w:divBdr>
        </w:div>
        <w:div w:id="500924165">
          <w:marLeft w:val="0"/>
          <w:marRight w:val="0"/>
          <w:marTop w:val="0"/>
          <w:marBottom w:val="0"/>
          <w:divBdr>
            <w:top w:val="none" w:sz="0" w:space="0" w:color="auto"/>
            <w:left w:val="none" w:sz="0" w:space="0" w:color="auto"/>
            <w:bottom w:val="none" w:sz="0" w:space="0" w:color="auto"/>
            <w:right w:val="none" w:sz="0" w:space="0" w:color="auto"/>
          </w:divBdr>
        </w:div>
        <w:div w:id="494027725">
          <w:marLeft w:val="0"/>
          <w:marRight w:val="0"/>
          <w:marTop w:val="0"/>
          <w:marBottom w:val="0"/>
          <w:divBdr>
            <w:top w:val="none" w:sz="0" w:space="0" w:color="auto"/>
            <w:left w:val="none" w:sz="0" w:space="0" w:color="auto"/>
            <w:bottom w:val="none" w:sz="0" w:space="0" w:color="auto"/>
            <w:right w:val="none" w:sz="0" w:space="0" w:color="auto"/>
          </w:divBdr>
        </w:div>
        <w:div w:id="602298879">
          <w:marLeft w:val="0"/>
          <w:marRight w:val="0"/>
          <w:marTop w:val="0"/>
          <w:marBottom w:val="0"/>
          <w:divBdr>
            <w:top w:val="none" w:sz="0" w:space="0" w:color="auto"/>
            <w:left w:val="none" w:sz="0" w:space="0" w:color="auto"/>
            <w:bottom w:val="none" w:sz="0" w:space="0" w:color="auto"/>
            <w:right w:val="none" w:sz="0" w:space="0" w:color="auto"/>
          </w:divBdr>
        </w:div>
      </w:divsChild>
    </w:div>
    <w:div w:id="870806127">
      <w:bodyDiv w:val="1"/>
      <w:marLeft w:val="0"/>
      <w:marRight w:val="0"/>
      <w:marTop w:val="0"/>
      <w:marBottom w:val="0"/>
      <w:divBdr>
        <w:top w:val="none" w:sz="0" w:space="0" w:color="auto"/>
        <w:left w:val="none" w:sz="0" w:space="0" w:color="auto"/>
        <w:bottom w:val="none" w:sz="0" w:space="0" w:color="auto"/>
        <w:right w:val="none" w:sz="0" w:space="0" w:color="auto"/>
      </w:divBdr>
      <w:divsChild>
        <w:div w:id="1433939248">
          <w:marLeft w:val="0"/>
          <w:marRight w:val="0"/>
          <w:marTop w:val="0"/>
          <w:marBottom w:val="0"/>
          <w:divBdr>
            <w:top w:val="none" w:sz="0" w:space="0" w:color="auto"/>
            <w:left w:val="none" w:sz="0" w:space="0" w:color="auto"/>
            <w:bottom w:val="none" w:sz="0" w:space="0" w:color="auto"/>
            <w:right w:val="none" w:sz="0" w:space="0" w:color="auto"/>
          </w:divBdr>
        </w:div>
        <w:div w:id="272058808">
          <w:marLeft w:val="0"/>
          <w:marRight w:val="0"/>
          <w:marTop w:val="0"/>
          <w:marBottom w:val="0"/>
          <w:divBdr>
            <w:top w:val="none" w:sz="0" w:space="0" w:color="auto"/>
            <w:left w:val="none" w:sz="0" w:space="0" w:color="auto"/>
            <w:bottom w:val="none" w:sz="0" w:space="0" w:color="auto"/>
            <w:right w:val="none" w:sz="0" w:space="0" w:color="auto"/>
          </w:divBdr>
        </w:div>
        <w:div w:id="878125650">
          <w:marLeft w:val="0"/>
          <w:marRight w:val="0"/>
          <w:marTop w:val="0"/>
          <w:marBottom w:val="0"/>
          <w:divBdr>
            <w:top w:val="none" w:sz="0" w:space="0" w:color="auto"/>
            <w:left w:val="none" w:sz="0" w:space="0" w:color="auto"/>
            <w:bottom w:val="none" w:sz="0" w:space="0" w:color="auto"/>
            <w:right w:val="none" w:sz="0" w:space="0" w:color="auto"/>
          </w:divBdr>
        </w:div>
      </w:divsChild>
    </w:div>
    <w:div w:id="1036660494">
      <w:bodyDiv w:val="1"/>
      <w:marLeft w:val="0"/>
      <w:marRight w:val="0"/>
      <w:marTop w:val="0"/>
      <w:marBottom w:val="0"/>
      <w:divBdr>
        <w:top w:val="none" w:sz="0" w:space="0" w:color="auto"/>
        <w:left w:val="none" w:sz="0" w:space="0" w:color="auto"/>
        <w:bottom w:val="none" w:sz="0" w:space="0" w:color="auto"/>
        <w:right w:val="none" w:sz="0" w:space="0" w:color="auto"/>
      </w:divBdr>
      <w:divsChild>
        <w:div w:id="592859911">
          <w:marLeft w:val="0"/>
          <w:marRight w:val="0"/>
          <w:marTop w:val="0"/>
          <w:marBottom w:val="0"/>
          <w:divBdr>
            <w:top w:val="none" w:sz="0" w:space="0" w:color="auto"/>
            <w:left w:val="none" w:sz="0" w:space="0" w:color="auto"/>
            <w:bottom w:val="none" w:sz="0" w:space="0" w:color="auto"/>
            <w:right w:val="none" w:sz="0" w:space="0" w:color="auto"/>
          </w:divBdr>
        </w:div>
        <w:div w:id="1426070188">
          <w:marLeft w:val="0"/>
          <w:marRight w:val="0"/>
          <w:marTop w:val="0"/>
          <w:marBottom w:val="0"/>
          <w:divBdr>
            <w:top w:val="none" w:sz="0" w:space="0" w:color="auto"/>
            <w:left w:val="none" w:sz="0" w:space="0" w:color="auto"/>
            <w:bottom w:val="none" w:sz="0" w:space="0" w:color="auto"/>
            <w:right w:val="none" w:sz="0" w:space="0" w:color="auto"/>
          </w:divBdr>
        </w:div>
        <w:div w:id="1387218897">
          <w:marLeft w:val="0"/>
          <w:marRight w:val="0"/>
          <w:marTop w:val="0"/>
          <w:marBottom w:val="0"/>
          <w:divBdr>
            <w:top w:val="none" w:sz="0" w:space="0" w:color="auto"/>
            <w:left w:val="none" w:sz="0" w:space="0" w:color="auto"/>
            <w:bottom w:val="none" w:sz="0" w:space="0" w:color="auto"/>
            <w:right w:val="none" w:sz="0" w:space="0" w:color="auto"/>
          </w:divBdr>
        </w:div>
      </w:divsChild>
    </w:div>
    <w:div w:id="1110511485">
      <w:bodyDiv w:val="1"/>
      <w:marLeft w:val="0"/>
      <w:marRight w:val="0"/>
      <w:marTop w:val="0"/>
      <w:marBottom w:val="0"/>
      <w:divBdr>
        <w:top w:val="none" w:sz="0" w:space="0" w:color="auto"/>
        <w:left w:val="none" w:sz="0" w:space="0" w:color="auto"/>
        <w:bottom w:val="none" w:sz="0" w:space="0" w:color="auto"/>
        <w:right w:val="none" w:sz="0" w:space="0" w:color="auto"/>
      </w:divBdr>
      <w:divsChild>
        <w:div w:id="967781586">
          <w:marLeft w:val="0"/>
          <w:marRight w:val="0"/>
          <w:marTop w:val="0"/>
          <w:marBottom w:val="0"/>
          <w:divBdr>
            <w:top w:val="none" w:sz="0" w:space="0" w:color="auto"/>
            <w:left w:val="none" w:sz="0" w:space="0" w:color="auto"/>
            <w:bottom w:val="none" w:sz="0" w:space="0" w:color="auto"/>
            <w:right w:val="none" w:sz="0" w:space="0" w:color="auto"/>
          </w:divBdr>
        </w:div>
        <w:div w:id="72821865">
          <w:marLeft w:val="0"/>
          <w:marRight w:val="0"/>
          <w:marTop w:val="0"/>
          <w:marBottom w:val="0"/>
          <w:divBdr>
            <w:top w:val="none" w:sz="0" w:space="0" w:color="auto"/>
            <w:left w:val="none" w:sz="0" w:space="0" w:color="auto"/>
            <w:bottom w:val="none" w:sz="0" w:space="0" w:color="auto"/>
            <w:right w:val="none" w:sz="0" w:space="0" w:color="auto"/>
          </w:divBdr>
        </w:div>
        <w:div w:id="1316565838">
          <w:marLeft w:val="0"/>
          <w:marRight w:val="0"/>
          <w:marTop w:val="0"/>
          <w:marBottom w:val="0"/>
          <w:divBdr>
            <w:top w:val="none" w:sz="0" w:space="0" w:color="auto"/>
            <w:left w:val="none" w:sz="0" w:space="0" w:color="auto"/>
            <w:bottom w:val="none" w:sz="0" w:space="0" w:color="auto"/>
            <w:right w:val="none" w:sz="0" w:space="0" w:color="auto"/>
          </w:divBdr>
        </w:div>
        <w:div w:id="1631939110">
          <w:marLeft w:val="0"/>
          <w:marRight w:val="0"/>
          <w:marTop w:val="0"/>
          <w:marBottom w:val="0"/>
          <w:divBdr>
            <w:top w:val="none" w:sz="0" w:space="0" w:color="auto"/>
            <w:left w:val="none" w:sz="0" w:space="0" w:color="auto"/>
            <w:bottom w:val="none" w:sz="0" w:space="0" w:color="auto"/>
            <w:right w:val="none" w:sz="0" w:space="0" w:color="auto"/>
          </w:divBdr>
        </w:div>
        <w:div w:id="1429036879">
          <w:marLeft w:val="0"/>
          <w:marRight w:val="0"/>
          <w:marTop w:val="0"/>
          <w:marBottom w:val="0"/>
          <w:divBdr>
            <w:top w:val="none" w:sz="0" w:space="0" w:color="auto"/>
            <w:left w:val="none" w:sz="0" w:space="0" w:color="auto"/>
            <w:bottom w:val="none" w:sz="0" w:space="0" w:color="auto"/>
            <w:right w:val="none" w:sz="0" w:space="0" w:color="auto"/>
          </w:divBdr>
        </w:div>
        <w:div w:id="2146466423">
          <w:marLeft w:val="0"/>
          <w:marRight w:val="0"/>
          <w:marTop w:val="0"/>
          <w:marBottom w:val="0"/>
          <w:divBdr>
            <w:top w:val="none" w:sz="0" w:space="0" w:color="auto"/>
            <w:left w:val="none" w:sz="0" w:space="0" w:color="auto"/>
            <w:bottom w:val="none" w:sz="0" w:space="0" w:color="auto"/>
            <w:right w:val="none" w:sz="0" w:space="0" w:color="auto"/>
          </w:divBdr>
        </w:div>
      </w:divsChild>
    </w:div>
    <w:div w:id="1205557614">
      <w:bodyDiv w:val="1"/>
      <w:marLeft w:val="0"/>
      <w:marRight w:val="0"/>
      <w:marTop w:val="0"/>
      <w:marBottom w:val="0"/>
      <w:divBdr>
        <w:top w:val="none" w:sz="0" w:space="0" w:color="auto"/>
        <w:left w:val="none" w:sz="0" w:space="0" w:color="auto"/>
        <w:bottom w:val="none" w:sz="0" w:space="0" w:color="auto"/>
        <w:right w:val="none" w:sz="0" w:space="0" w:color="auto"/>
      </w:divBdr>
    </w:div>
    <w:div w:id="1269464221">
      <w:bodyDiv w:val="1"/>
      <w:marLeft w:val="0"/>
      <w:marRight w:val="0"/>
      <w:marTop w:val="0"/>
      <w:marBottom w:val="0"/>
      <w:divBdr>
        <w:top w:val="none" w:sz="0" w:space="0" w:color="auto"/>
        <w:left w:val="none" w:sz="0" w:space="0" w:color="auto"/>
        <w:bottom w:val="none" w:sz="0" w:space="0" w:color="auto"/>
        <w:right w:val="none" w:sz="0" w:space="0" w:color="auto"/>
      </w:divBdr>
    </w:div>
    <w:div w:id="1340694790">
      <w:bodyDiv w:val="1"/>
      <w:marLeft w:val="0"/>
      <w:marRight w:val="0"/>
      <w:marTop w:val="0"/>
      <w:marBottom w:val="0"/>
      <w:divBdr>
        <w:top w:val="none" w:sz="0" w:space="0" w:color="auto"/>
        <w:left w:val="none" w:sz="0" w:space="0" w:color="auto"/>
        <w:bottom w:val="none" w:sz="0" w:space="0" w:color="auto"/>
        <w:right w:val="none" w:sz="0" w:space="0" w:color="auto"/>
      </w:divBdr>
    </w:div>
    <w:div w:id="1344092436">
      <w:bodyDiv w:val="1"/>
      <w:marLeft w:val="0"/>
      <w:marRight w:val="0"/>
      <w:marTop w:val="0"/>
      <w:marBottom w:val="0"/>
      <w:divBdr>
        <w:top w:val="none" w:sz="0" w:space="0" w:color="auto"/>
        <w:left w:val="none" w:sz="0" w:space="0" w:color="auto"/>
        <w:bottom w:val="none" w:sz="0" w:space="0" w:color="auto"/>
        <w:right w:val="none" w:sz="0" w:space="0" w:color="auto"/>
      </w:divBdr>
      <w:divsChild>
        <w:div w:id="1008479550">
          <w:marLeft w:val="0"/>
          <w:marRight w:val="0"/>
          <w:marTop w:val="0"/>
          <w:marBottom w:val="0"/>
          <w:divBdr>
            <w:top w:val="none" w:sz="0" w:space="0" w:color="auto"/>
            <w:left w:val="none" w:sz="0" w:space="0" w:color="auto"/>
            <w:bottom w:val="none" w:sz="0" w:space="0" w:color="auto"/>
            <w:right w:val="none" w:sz="0" w:space="0" w:color="auto"/>
          </w:divBdr>
        </w:div>
        <w:div w:id="706494817">
          <w:marLeft w:val="0"/>
          <w:marRight w:val="0"/>
          <w:marTop w:val="0"/>
          <w:marBottom w:val="0"/>
          <w:divBdr>
            <w:top w:val="none" w:sz="0" w:space="0" w:color="auto"/>
            <w:left w:val="none" w:sz="0" w:space="0" w:color="auto"/>
            <w:bottom w:val="none" w:sz="0" w:space="0" w:color="auto"/>
            <w:right w:val="none" w:sz="0" w:space="0" w:color="auto"/>
          </w:divBdr>
        </w:div>
        <w:div w:id="1076515274">
          <w:marLeft w:val="0"/>
          <w:marRight w:val="0"/>
          <w:marTop w:val="0"/>
          <w:marBottom w:val="0"/>
          <w:divBdr>
            <w:top w:val="none" w:sz="0" w:space="0" w:color="auto"/>
            <w:left w:val="none" w:sz="0" w:space="0" w:color="auto"/>
            <w:bottom w:val="none" w:sz="0" w:space="0" w:color="auto"/>
            <w:right w:val="none" w:sz="0" w:space="0" w:color="auto"/>
          </w:divBdr>
        </w:div>
        <w:div w:id="1696927931">
          <w:marLeft w:val="0"/>
          <w:marRight w:val="0"/>
          <w:marTop w:val="0"/>
          <w:marBottom w:val="0"/>
          <w:divBdr>
            <w:top w:val="none" w:sz="0" w:space="0" w:color="auto"/>
            <w:left w:val="none" w:sz="0" w:space="0" w:color="auto"/>
            <w:bottom w:val="none" w:sz="0" w:space="0" w:color="auto"/>
            <w:right w:val="none" w:sz="0" w:space="0" w:color="auto"/>
          </w:divBdr>
        </w:div>
        <w:div w:id="1812556999">
          <w:marLeft w:val="0"/>
          <w:marRight w:val="0"/>
          <w:marTop w:val="0"/>
          <w:marBottom w:val="0"/>
          <w:divBdr>
            <w:top w:val="none" w:sz="0" w:space="0" w:color="auto"/>
            <w:left w:val="none" w:sz="0" w:space="0" w:color="auto"/>
            <w:bottom w:val="none" w:sz="0" w:space="0" w:color="auto"/>
            <w:right w:val="none" w:sz="0" w:space="0" w:color="auto"/>
          </w:divBdr>
        </w:div>
        <w:div w:id="760489366">
          <w:marLeft w:val="0"/>
          <w:marRight w:val="0"/>
          <w:marTop w:val="0"/>
          <w:marBottom w:val="0"/>
          <w:divBdr>
            <w:top w:val="none" w:sz="0" w:space="0" w:color="auto"/>
            <w:left w:val="none" w:sz="0" w:space="0" w:color="auto"/>
            <w:bottom w:val="none" w:sz="0" w:space="0" w:color="auto"/>
            <w:right w:val="none" w:sz="0" w:space="0" w:color="auto"/>
          </w:divBdr>
        </w:div>
        <w:div w:id="34044122">
          <w:marLeft w:val="0"/>
          <w:marRight w:val="0"/>
          <w:marTop w:val="0"/>
          <w:marBottom w:val="0"/>
          <w:divBdr>
            <w:top w:val="none" w:sz="0" w:space="0" w:color="auto"/>
            <w:left w:val="none" w:sz="0" w:space="0" w:color="auto"/>
            <w:bottom w:val="none" w:sz="0" w:space="0" w:color="auto"/>
            <w:right w:val="none" w:sz="0" w:space="0" w:color="auto"/>
          </w:divBdr>
        </w:div>
        <w:div w:id="39942054">
          <w:marLeft w:val="0"/>
          <w:marRight w:val="0"/>
          <w:marTop w:val="0"/>
          <w:marBottom w:val="0"/>
          <w:divBdr>
            <w:top w:val="none" w:sz="0" w:space="0" w:color="auto"/>
            <w:left w:val="none" w:sz="0" w:space="0" w:color="auto"/>
            <w:bottom w:val="none" w:sz="0" w:space="0" w:color="auto"/>
            <w:right w:val="none" w:sz="0" w:space="0" w:color="auto"/>
          </w:divBdr>
        </w:div>
        <w:div w:id="899290570">
          <w:marLeft w:val="0"/>
          <w:marRight w:val="0"/>
          <w:marTop w:val="0"/>
          <w:marBottom w:val="0"/>
          <w:divBdr>
            <w:top w:val="none" w:sz="0" w:space="0" w:color="auto"/>
            <w:left w:val="none" w:sz="0" w:space="0" w:color="auto"/>
            <w:bottom w:val="none" w:sz="0" w:space="0" w:color="auto"/>
            <w:right w:val="none" w:sz="0" w:space="0" w:color="auto"/>
          </w:divBdr>
        </w:div>
        <w:div w:id="1685478824">
          <w:marLeft w:val="0"/>
          <w:marRight w:val="0"/>
          <w:marTop w:val="0"/>
          <w:marBottom w:val="0"/>
          <w:divBdr>
            <w:top w:val="none" w:sz="0" w:space="0" w:color="auto"/>
            <w:left w:val="none" w:sz="0" w:space="0" w:color="auto"/>
            <w:bottom w:val="none" w:sz="0" w:space="0" w:color="auto"/>
            <w:right w:val="none" w:sz="0" w:space="0" w:color="auto"/>
          </w:divBdr>
        </w:div>
        <w:div w:id="175579012">
          <w:marLeft w:val="0"/>
          <w:marRight w:val="0"/>
          <w:marTop w:val="0"/>
          <w:marBottom w:val="0"/>
          <w:divBdr>
            <w:top w:val="none" w:sz="0" w:space="0" w:color="auto"/>
            <w:left w:val="none" w:sz="0" w:space="0" w:color="auto"/>
            <w:bottom w:val="none" w:sz="0" w:space="0" w:color="auto"/>
            <w:right w:val="none" w:sz="0" w:space="0" w:color="auto"/>
          </w:divBdr>
        </w:div>
        <w:div w:id="623737216">
          <w:marLeft w:val="0"/>
          <w:marRight w:val="0"/>
          <w:marTop w:val="0"/>
          <w:marBottom w:val="0"/>
          <w:divBdr>
            <w:top w:val="none" w:sz="0" w:space="0" w:color="auto"/>
            <w:left w:val="none" w:sz="0" w:space="0" w:color="auto"/>
            <w:bottom w:val="none" w:sz="0" w:space="0" w:color="auto"/>
            <w:right w:val="none" w:sz="0" w:space="0" w:color="auto"/>
          </w:divBdr>
        </w:div>
        <w:div w:id="1229417784">
          <w:marLeft w:val="0"/>
          <w:marRight w:val="0"/>
          <w:marTop w:val="0"/>
          <w:marBottom w:val="0"/>
          <w:divBdr>
            <w:top w:val="none" w:sz="0" w:space="0" w:color="auto"/>
            <w:left w:val="none" w:sz="0" w:space="0" w:color="auto"/>
            <w:bottom w:val="none" w:sz="0" w:space="0" w:color="auto"/>
            <w:right w:val="none" w:sz="0" w:space="0" w:color="auto"/>
          </w:divBdr>
        </w:div>
        <w:div w:id="920065931">
          <w:marLeft w:val="0"/>
          <w:marRight w:val="0"/>
          <w:marTop w:val="0"/>
          <w:marBottom w:val="0"/>
          <w:divBdr>
            <w:top w:val="none" w:sz="0" w:space="0" w:color="auto"/>
            <w:left w:val="none" w:sz="0" w:space="0" w:color="auto"/>
            <w:bottom w:val="none" w:sz="0" w:space="0" w:color="auto"/>
            <w:right w:val="none" w:sz="0" w:space="0" w:color="auto"/>
          </w:divBdr>
        </w:div>
        <w:div w:id="995764947">
          <w:marLeft w:val="0"/>
          <w:marRight w:val="0"/>
          <w:marTop w:val="0"/>
          <w:marBottom w:val="0"/>
          <w:divBdr>
            <w:top w:val="none" w:sz="0" w:space="0" w:color="auto"/>
            <w:left w:val="none" w:sz="0" w:space="0" w:color="auto"/>
            <w:bottom w:val="none" w:sz="0" w:space="0" w:color="auto"/>
            <w:right w:val="none" w:sz="0" w:space="0" w:color="auto"/>
          </w:divBdr>
        </w:div>
        <w:div w:id="1905722216">
          <w:marLeft w:val="0"/>
          <w:marRight w:val="0"/>
          <w:marTop w:val="0"/>
          <w:marBottom w:val="0"/>
          <w:divBdr>
            <w:top w:val="none" w:sz="0" w:space="0" w:color="auto"/>
            <w:left w:val="none" w:sz="0" w:space="0" w:color="auto"/>
            <w:bottom w:val="none" w:sz="0" w:space="0" w:color="auto"/>
            <w:right w:val="none" w:sz="0" w:space="0" w:color="auto"/>
          </w:divBdr>
        </w:div>
        <w:div w:id="1177959107">
          <w:marLeft w:val="0"/>
          <w:marRight w:val="0"/>
          <w:marTop w:val="0"/>
          <w:marBottom w:val="0"/>
          <w:divBdr>
            <w:top w:val="none" w:sz="0" w:space="0" w:color="auto"/>
            <w:left w:val="none" w:sz="0" w:space="0" w:color="auto"/>
            <w:bottom w:val="none" w:sz="0" w:space="0" w:color="auto"/>
            <w:right w:val="none" w:sz="0" w:space="0" w:color="auto"/>
          </w:divBdr>
        </w:div>
        <w:div w:id="1533687101">
          <w:marLeft w:val="0"/>
          <w:marRight w:val="0"/>
          <w:marTop w:val="0"/>
          <w:marBottom w:val="0"/>
          <w:divBdr>
            <w:top w:val="none" w:sz="0" w:space="0" w:color="auto"/>
            <w:left w:val="none" w:sz="0" w:space="0" w:color="auto"/>
            <w:bottom w:val="none" w:sz="0" w:space="0" w:color="auto"/>
            <w:right w:val="none" w:sz="0" w:space="0" w:color="auto"/>
          </w:divBdr>
        </w:div>
        <w:div w:id="1927105664">
          <w:marLeft w:val="0"/>
          <w:marRight w:val="0"/>
          <w:marTop w:val="0"/>
          <w:marBottom w:val="0"/>
          <w:divBdr>
            <w:top w:val="none" w:sz="0" w:space="0" w:color="auto"/>
            <w:left w:val="none" w:sz="0" w:space="0" w:color="auto"/>
            <w:bottom w:val="none" w:sz="0" w:space="0" w:color="auto"/>
            <w:right w:val="none" w:sz="0" w:space="0" w:color="auto"/>
          </w:divBdr>
        </w:div>
        <w:div w:id="1695228146">
          <w:marLeft w:val="0"/>
          <w:marRight w:val="0"/>
          <w:marTop w:val="0"/>
          <w:marBottom w:val="0"/>
          <w:divBdr>
            <w:top w:val="none" w:sz="0" w:space="0" w:color="auto"/>
            <w:left w:val="none" w:sz="0" w:space="0" w:color="auto"/>
            <w:bottom w:val="none" w:sz="0" w:space="0" w:color="auto"/>
            <w:right w:val="none" w:sz="0" w:space="0" w:color="auto"/>
          </w:divBdr>
        </w:div>
        <w:div w:id="2054303296">
          <w:marLeft w:val="0"/>
          <w:marRight w:val="0"/>
          <w:marTop w:val="0"/>
          <w:marBottom w:val="0"/>
          <w:divBdr>
            <w:top w:val="none" w:sz="0" w:space="0" w:color="auto"/>
            <w:left w:val="none" w:sz="0" w:space="0" w:color="auto"/>
            <w:bottom w:val="none" w:sz="0" w:space="0" w:color="auto"/>
            <w:right w:val="none" w:sz="0" w:space="0" w:color="auto"/>
          </w:divBdr>
        </w:div>
      </w:divsChild>
    </w:div>
    <w:div w:id="1352301107">
      <w:bodyDiv w:val="1"/>
      <w:marLeft w:val="0"/>
      <w:marRight w:val="0"/>
      <w:marTop w:val="0"/>
      <w:marBottom w:val="0"/>
      <w:divBdr>
        <w:top w:val="none" w:sz="0" w:space="0" w:color="auto"/>
        <w:left w:val="none" w:sz="0" w:space="0" w:color="auto"/>
        <w:bottom w:val="none" w:sz="0" w:space="0" w:color="auto"/>
        <w:right w:val="none" w:sz="0" w:space="0" w:color="auto"/>
      </w:divBdr>
    </w:div>
    <w:div w:id="1371108563">
      <w:bodyDiv w:val="1"/>
      <w:marLeft w:val="0"/>
      <w:marRight w:val="0"/>
      <w:marTop w:val="0"/>
      <w:marBottom w:val="0"/>
      <w:divBdr>
        <w:top w:val="none" w:sz="0" w:space="0" w:color="auto"/>
        <w:left w:val="none" w:sz="0" w:space="0" w:color="auto"/>
        <w:bottom w:val="none" w:sz="0" w:space="0" w:color="auto"/>
        <w:right w:val="none" w:sz="0" w:space="0" w:color="auto"/>
      </w:divBdr>
    </w:div>
    <w:div w:id="1396591284">
      <w:bodyDiv w:val="1"/>
      <w:marLeft w:val="0"/>
      <w:marRight w:val="0"/>
      <w:marTop w:val="0"/>
      <w:marBottom w:val="0"/>
      <w:divBdr>
        <w:top w:val="none" w:sz="0" w:space="0" w:color="auto"/>
        <w:left w:val="none" w:sz="0" w:space="0" w:color="auto"/>
        <w:bottom w:val="none" w:sz="0" w:space="0" w:color="auto"/>
        <w:right w:val="none" w:sz="0" w:space="0" w:color="auto"/>
      </w:divBdr>
      <w:divsChild>
        <w:div w:id="1518041338">
          <w:marLeft w:val="0"/>
          <w:marRight w:val="0"/>
          <w:marTop w:val="0"/>
          <w:marBottom w:val="0"/>
          <w:divBdr>
            <w:top w:val="none" w:sz="0" w:space="0" w:color="auto"/>
            <w:left w:val="none" w:sz="0" w:space="0" w:color="auto"/>
            <w:bottom w:val="none" w:sz="0" w:space="0" w:color="auto"/>
            <w:right w:val="none" w:sz="0" w:space="0" w:color="auto"/>
          </w:divBdr>
        </w:div>
        <w:div w:id="1062488329">
          <w:marLeft w:val="0"/>
          <w:marRight w:val="0"/>
          <w:marTop w:val="0"/>
          <w:marBottom w:val="0"/>
          <w:divBdr>
            <w:top w:val="none" w:sz="0" w:space="0" w:color="auto"/>
            <w:left w:val="none" w:sz="0" w:space="0" w:color="auto"/>
            <w:bottom w:val="none" w:sz="0" w:space="0" w:color="auto"/>
            <w:right w:val="none" w:sz="0" w:space="0" w:color="auto"/>
          </w:divBdr>
        </w:div>
        <w:div w:id="119736356">
          <w:marLeft w:val="0"/>
          <w:marRight w:val="0"/>
          <w:marTop w:val="0"/>
          <w:marBottom w:val="0"/>
          <w:divBdr>
            <w:top w:val="none" w:sz="0" w:space="0" w:color="auto"/>
            <w:left w:val="none" w:sz="0" w:space="0" w:color="auto"/>
            <w:bottom w:val="none" w:sz="0" w:space="0" w:color="auto"/>
            <w:right w:val="none" w:sz="0" w:space="0" w:color="auto"/>
          </w:divBdr>
        </w:div>
        <w:div w:id="1297031833">
          <w:marLeft w:val="0"/>
          <w:marRight w:val="0"/>
          <w:marTop w:val="0"/>
          <w:marBottom w:val="0"/>
          <w:divBdr>
            <w:top w:val="none" w:sz="0" w:space="0" w:color="auto"/>
            <w:left w:val="none" w:sz="0" w:space="0" w:color="auto"/>
            <w:bottom w:val="none" w:sz="0" w:space="0" w:color="auto"/>
            <w:right w:val="none" w:sz="0" w:space="0" w:color="auto"/>
          </w:divBdr>
        </w:div>
        <w:div w:id="1435327597">
          <w:marLeft w:val="0"/>
          <w:marRight w:val="0"/>
          <w:marTop w:val="0"/>
          <w:marBottom w:val="0"/>
          <w:divBdr>
            <w:top w:val="none" w:sz="0" w:space="0" w:color="auto"/>
            <w:left w:val="none" w:sz="0" w:space="0" w:color="auto"/>
            <w:bottom w:val="none" w:sz="0" w:space="0" w:color="auto"/>
            <w:right w:val="none" w:sz="0" w:space="0" w:color="auto"/>
          </w:divBdr>
        </w:div>
      </w:divsChild>
    </w:div>
    <w:div w:id="1546520553">
      <w:bodyDiv w:val="1"/>
      <w:marLeft w:val="0"/>
      <w:marRight w:val="0"/>
      <w:marTop w:val="0"/>
      <w:marBottom w:val="0"/>
      <w:divBdr>
        <w:top w:val="none" w:sz="0" w:space="0" w:color="auto"/>
        <w:left w:val="none" w:sz="0" w:space="0" w:color="auto"/>
        <w:bottom w:val="none" w:sz="0" w:space="0" w:color="auto"/>
        <w:right w:val="none" w:sz="0" w:space="0" w:color="auto"/>
      </w:divBdr>
      <w:divsChild>
        <w:div w:id="95756277">
          <w:marLeft w:val="0"/>
          <w:marRight w:val="0"/>
          <w:marTop w:val="0"/>
          <w:marBottom w:val="0"/>
          <w:divBdr>
            <w:top w:val="none" w:sz="0" w:space="0" w:color="auto"/>
            <w:left w:val="none" w:sz="0" w:space="0" w:color="auto"/>
            <w:bottom w:val="none" w:sz="0" w:space="0" w:color="auto"/>
            <w:right w:val="none" w:sz="0" w:space="0" w:color="auto"/>
          </w:divBdr>
        </w:div>
        <w:div w:id="2024893770">
          <w:marLeft w:val="0"/>
          <w:marRight w:val="0"/>
          <w:marTop w:val="0"/>
          <w:marBottom w:val="0"/>
          <w:divBdr>
            <w:top w:val="none" w:sz="0" w:space="0" w:color="auto"/>
            <w:left w:val="none" w:sz="0" w:space="0" w:color="auto"/>
            <w:bottom w:val="none" w:sz="0" w:space="0" w:color="auto"/>
            <w:right w:val="none" w:sz="0" w:space="0" w:color="auto"/>
          </w:divBdr>
        </w:div>
        <w:div w:id="1725713669">
          <w:marLeft w:val="0"/>
          <w:marRight w:val="0"/>
          <w:marTop w:val="0"/>
          <w:marBottom w:val="0"/>
          <w:divBdr>
            <w:top w:val="none" w:sz="0" w:space="0" w:color="auto"/>
            <w:left w:val="none" w:sz="0" w:space="0" w:color="auto"/>
            <w:bottom w:val="none" w:sz="0" w:space="0" w:color="auto"/>
            <w:right w:val="none" w:sz="0" w:space="0" w:color="auto"/>
          </w:divBdr>
        </w:div>
        <w:div w:id="1401175060">
          <w:marLeft w:val="0"/>
          <w:marRight w:val="0"/>
          <w:marTop w:val="0"/>
          <w:marBottom w:val="0"/>
          <w:divBdr>
            <w:top w:val="none" w:sz="0" w:space="0" w:color="auto"/>
            <w:left w:val="none" w:sz="0" w:space="0" w:color="auto"/>
            <w:bottom w:val="none" w:sz="0" w:space="0" w:color="auto"/>
            <w:right w:val="none" w:sz="0" w:space="0" w:color="auto"/>
          </w:divBdr>
        </w:div>
        <w:div w:id="1925410448">
          <w:marLeft w:val="0"/>
          <w:marRight w:val="0"/>
          <w:marTop w:val="0"/>
          <w:marBottom w:val="0"/>
          <w:divBdr>
            <w:top w:val="none" w:sz="0" w:space="0" w:color="auto"/>
            <w:left w:val="none" w:sz="0" w:space="0" w:color="auto"/>
            <w:bottom w:val="none" w:sz="0" w:space="0" w:color="auto"/>
            <w:right w:val="none" w:sz="0" w:space="0" w:color="auto"/>
          </w:divBdr>
        </w:div>
        <w:div w:id="1126850229">
          <w:marLeft w:val="0"/>
          <w:marRight w:val="0"/>
          <w:marTop w:val="0"/>
          <w:marBottom w:val="0"/>
          <w:divBdr>
            <w:top w:val="none" w:sz="0" w:space="0" w:color="auto"/>
            <w:left w:val="none" w:sz="0" w:space="0" w:color="auto"/>
            <w:bottom w:val="none" w:sz="0" w:space="0" w:color="auto"/>
            <w:right w:val="none" w:sz="0" w:space="0" w:color="auto"/>
          </w:divBdr>
        </w:div>
        <w:div w:id="1940865566">
          <w:marLeft w:val="0"/>
          <w:marRight w:val="0"/>
          <w:marTop w:val="0"/>
          <w:marBottom w:val="0"/>
          <w:divBdr>
            <w:top w:val="none" w:sz="0" w:space="0" w:color="auto"/>
            <w:left w:val="none" w:sz="0" w:space="0" w:color="auto"/>
            <w:bottom w:val="none" w:sz="0" w:space="0" w:color="auto"/>
            <w:right w:val="none" w:sz="0" w:space="0" w:color="auto"/>
          </w:divBdr>
        </w:div>
        <w:div w:id="508907197">
          <w:marLeft w:val="0"/>
          <w:marRight w:val="0"/>
          <w:marTop w:val="0"/>
          <w:marBottom w:val="0"/>
          <w:divBdr>
            <w:top w:val="none" w:sz="0" w:space="0" w:color="auto"/>
            <w:left w:val="none" w:sz="0" w:space="0" w:color="auto"/>
            <w:bottom w:val="none" w:sz="0" w:space="0" w:color="auto"/>
            <w:right w:val="none" w:sz="0" w:space="0" w:color="auto"/>
          </w:divBdr>
        </w:div>
        <w:div w:id="1078750223">
          <w:marLeft w:val="0"/>
          <w:marRight w:val="0"/>
          <w:marTop w:val="0"/>
          <w:marBottom w:val="0"/>
          <w:divBdr>
            <w:top w:val="none" w:sz="0" w:space="0" w:color="auto"/>
            <w:left w:val="none" w:sz="0" w:space="0" w:color="auto"/>
            <w:bottom w:val="none" w:sz="0" w:space="0" w:color="auto"/>
            <w:right w:val="none" w:sz="0" w:space="0" w:color="auto"/>
          </w:divBdr>
        </w:div>
        <w:div w:id="757293277">
          <w:marLeft w:val="0"/>
          <w:marRight w:val="0"/>
          <w:marTop w:val="0"/>
          <w:marBottom w:val="0"/>
          <w:divBdr>
            <w:top w:val="none" w:sz="0" w:space="0" w:color="auto"/>
            <w:left w:val="none" w:sz="0" w:space="0" w:color="auto"/>
            <w:bottom w:val="none" w:sz="0" w:space="0" w:color="auto"/>
            <w:right w:val="none" w:sz="0" w:space="0" w:color="auto"/>
          </w:divBdr>
        </w:div>
        <w:div w:id="840969850">
          <w:marLeft w:val="0"/>
          <w:marRight w:val="0"/>
          <w:marTop w:val="0"/>
          <w:marBottom w:val="0"/>
          <w:divBdr>
            <w:top w:val="none" w:sz="0" w:space="0" w:color="auto"/>
            <w:left w:val="none" w:sz="0" w:space="0" w:color="auto"/>
            <w:bottom w:val="none" w:sz="0" w:space="0" w:color="auto"/>
            <w:right w:val="none" w:sz="0" w:space="0" w:color="auto"/>
          </w:divBdr>
        </w:div>
        <w:div w:id="91554698">
          <w:marLeft w:val="0"/>
          <w:marRight w:val="0"/>
          <w:marTop w:val="0"/>
          <w:marBottom w:val="0"/>
          <w:divBdr>
            <w:top w:val="none" w:sz="0" w:space="0" w:color="auto"/>
            <w:left w:val="none" w:sz="0" w:space="0" w:color="auto"/>
            <w:bottom w:val="none" w:sz="0" w:space="0" w:color="auto"/>
            <w:right w:val="none" w:sz="0" w:space="0" w:color="auto"/>
          </w:divBdr>
        </w:div>
        <w:div w:id="1091008574">
          <w:marLeft w:val="0"/>
          <w:marRight w:val="0"/>
          <w:marTop w:val="0"/>
          <w:marBottom w:val="0"/>
          <w:divBdr>
            <w:top w:val="none" w:sz="0" w:space="0" w:color="auto"/>
            <w:left w:val="none" w:sz="0" w:space="0" w:color="auto"/>
            <w:bottom w:val="none" w:sz="0" w:space="0" w:color="auto"/>
            <w:right w:val="none" w:sz="0" w:space="0" w:color="auto"/>
          </w:divBdr>
        </w:div>
        <w:div w:id="411582357">
          <w:marLeft w:val="0"/>
          <w:marRight w:val="0"/>
          <w:marTop w:val="0"/>
          <w:marBottom w:val="0"/>
          <w:divBdr>
            <w:top w:val="none" w:sz="0" w:space="0" w:color="auto"/>
            <w:left w:val="none" w:sz="0" w:space="0" w:color="auto"/>
            <w:bottom w:val="none" w:sz="0" w:space="0" w:color="auto"/>
            <w:right w:val="none" w:sz="0" w:space="0" w:color="auto"/>
          </w:divBdr>
        </w:div>
        <w:div w:id="1149786714">
          <w:marLeft w:val="0"/>
          <w:marRight w:val="0"/>
          <w:marTop w:val="0"/>
          <w:marBottom w:val="0"/>
          <w:divBdr>
            <w:top w:val="none" w:sz="0" w:space="0" w:color="auto"/>
            <w:left w:val="none" w:sz="0" w:space="0" w:color="auto"/>
            <w:bottom w:val="none" w:sz="0" w:space="0" w:color="auto"/>
            <w:right w:val="none" w:sz="0" w:space="0" w:color="auto"/>
          </w:divBdr>
        </w:div>
      </w:divsChild>
    </w:div>
    <w:div w:id="1608274611">
      <w:bodyDiv w:val="1"/>
      <w:marLeft w:val="0"/>
      <w:marRight w:val="0"/>
      <w:marTop w:val="0"/>
      <w:marBottom w:val="0"/>
      <w:divBdr>
        <w:top w:val="none" w:sz="0" w:space="0" w:color="auto"/>
        <w:left w:val="none" w:sz="0" w:space="0" w:color="auto"/>
        <w:bottom w:val="none" w:sz="0" w:space="0" w:color="auto"/>
        <w:right w:val="none" w:sz="0" w:space="0" w:color="auto"/>
      </w:divBdr>
      <w:divsChild>
        <w:div w:id="1138109432">
          <w:marLeft w:val="0"/>
          <w:marRight w:val="0"/>
          <w:marTop w:val="0"/>
          <w:marBottom w:val="0"/>
          <w:divBdr>
            <w:top w:val="none" w:sz="0" w:space="0" w:color="auto"/>
            <w:left w:val="none" w:sz="0" w:space="0" w:color="auto"/>
            <w:bottom w:val="none" w:sz="0" w:space="0" w:color="auto"/>
            <w:right w:val="none" w:sz="0" w:space="0" w:color="auto"/>
          </w:divBdr>
        </w:div>
        <w:div w:id="1682705402">
          <w:marLeft w:val="0"/>
          <w:marRight w:val="0"/>
          <w:marTop w:val="0"/>
          <w:marBottom w:val="0"/>
          <w:divBdr>
            <w:top w:val="none" w:sz="0" w:space="0" w:color="auto"/>
            <w:left w:val="none" w:sz="0" w:space="0" w:color="auto"/>
            <w:bottom w:val="none" w:sz="0" w:space="0" w:color="auto"/>
            <w:right w:val="none" w:sz="0" w:space="0" w:color="auto"/>
          </w:divBdr>
        </w:div>
        <w:div w:id="1848323735">
          <w:marLeft w:val="0"/>
          <w:marRight w:val="0"/>
          <w:marTop w:val="0"/>
          <w:marBottom w:val="0"/>
          <w:divBdr>
            <w:top w:val="none" w:sz="0" w:space="0" w:color="auto"/>
            <w:left w:val="none" w:sz="0" w:space="0" w:color="auto"/>
            <w:bottom w:val="none" w:sz="0" w:space="0" w:color="auto"/>
            <w:right w:val="none" w:sz="0" w:space="0" w:color="auto"/>
          </w:divBdr>
        </w:div>
        <w:div w:id="1592008650">
          <w:marLeft w:val="0"/>
          <w:marRight w:val="0"/>
          <w:marTop w:val="0"/>
          <w:marBottom w:val="0"/>
          <w:divBdr>
            <w:top w:val="none" w:sz="0" w:space="0" w:color="auto"/>
            <w:left w:val="none" w:sz="0" w:space="0" w:color="auto"/>
            <w:bottom w:val="none" w:sz="0" w:space="0" w:color="auto"/>
            <w:right w:val="none" w:sz="0" w:space="0" w:color="auto"/>
          </w:divBdr>
        </w:div>
        <w:div w:id="705524676">
          <w:marLeft w:val="0"/>
          <w:marRight w:val="0"/>
          <w:marTop w:val="0"/>
          <w:marBottom w:val="0"/>
          <w:divBdr>
            <w:top w:val="none" w:sz="0" w:space="0" w:color="auto"/>
            <w:left w:val="none" w:sz="0" w:space="0" w:color="auto"/>
            <w:bottom w:val="none" w:sz="0" w:space="0" w:color="auto"/>
            <w:right w:val="none" w:sz="0" w:space="0" w:color="auto"/>
          </w:divBdr>
        </w:div>
        <w:div w:id="1517844951">
          <w:marLeft w:val="0"/>
          <w:marRight w:val="0"/>
          <w:marTop w:val="0"/>
          <w:marBottom w:val="0"/>
          <w:divBdr>
            <w:top w:val="none" w:sz="0" w:space="0" w:color="auto"/>
            <w:left w:val="none" w:sz="0" w:space="0" w:color="auto"/>
            <w:bottom w:val="none" w:sz="0" w:space="0" w:color="auto"/>
            <w:right w:val="none" w:sz="0" w:space="0" w:color="auto"/>
          </w:divBdr>
        </w:div>
        <w:div w:id="1435788848">
          <w:marLeft w:val="0"/>
          <w:marRight w:val="0"/>
          <w:marTop w:val="0"/>
          <w:marBottom w:val="0"/>
          <w:divBdr>
            <w:top w:val="none" w:sz="0" w:space="0" w:color="auto"/>
            <w:left w:val="none" w:sz="0" w:space="0" w:color="auto"/>
            <w:bottom w:val="none" w:sz="0" w:space="0" w:color="auto"/>
            <w:right w:val="none" w:sz="0" w:space="0" w:color="auto"/>
          </w:divBdr>
        </w:div>
        <w:div w:id="2001886106">
          <w:marLeft w:val="0"/>
          <w:marRight w:val="0"/>
          <w:marTop w:val="0"/>
          <w:marBottom w:val="0"/>
          <w:divBdr>
            <w:top w:val="none" w:sz="0" w:space="0" w:color="auto"/>
            <w:left w:val="none" w:sz="0" w:space="0" w:color="auto"/>
            <w:bottom w:val="none" w:sz="0" w:space="0" w:color="auto"/>
            <w:right w:val="none" w:sz="0" w:space="0" w:color="auto"/>
          </w:divBdr>
        </w:div>
        <w:div w:id="1347515964">
          <w:marLeft w:val="0"/>
          <w:marRight w:val="0"/>
          <w:marTop w:val="0"/>
          <w:marBottom w:val="0"/>
          <w:divBdr>
            <w:top w:val="none" w:sz="0" w:space="0" w:color="auto"/>
            <w:left w:val="none" w:sz="0" w:space="0" w:color="auto"/>
            <w:bottom w:val="none" w:sz="0" w:space="0" w:color="auto"/>
            <w:right w:val="none" w:sz="0" w:space="0" w:color="auto"/>
          </w:divBdr>
        </w:div>
        <w:div w:id="268662796">
          <w:marLeft w:val="0"/>
          <w:marRight w:val="0"/>
          <w:marTop w:val="0"/>
          <w:marBottom w:val="0"/>
          <w:divBdr>
            <w:top w:val="none" w:sz="0" w:space="0" w:color="auto"/>
            <w:left w:val="none" w:sz="0" w:space="0" w:color="auto"/>
            <w:bottom w:val="none" w:sz="0" w:space="0" w:color="auto"/>
            <w:right w:val="none" w:sz="0" w:space="0" w:color="auto"/>
          </w:divBdr>
        </w:div>
        <w:div w:id="45302156">
          <w:marLeft w:val="0"/>
          <w:marRight w:val="0"/>
          <w:marTop w:val="0"/>
          <w:marBottom w:val="0"/>
          <w:divBdr>
            <w:top w:val="none" w:sz="0" w:space="0" w:color="auto"/>
            <w:left w:val="none" w:sz="0" w:space="0" w:color="auto"/>
            <w:bottom w:val="none" w:sz="0" w:space="0" w:color="auto"/>
            <w:right w:val="none" w:sz="0" w:space="0" w:color="auto"/>
          </w:divBdr>
        </w:div>
        <w:div w:id="728308493">
          <w:marLeft w:val="0"/>
          <w:marRight w:val="0"/>
          <w:marTop w:val="0"/>
          <w:marBottom w:val="0"/>
          <w:divBdr>
            <w:top w:val="none" w:sz="0" w:space="0" w:color="auto"/>
            <w:left w:val="none" w:sz="0" w:space="0" w:color="auto"/>
            <w:bottom w:val="none" w:sz="0" w:space="0" w:color="auto"/>
            <w:right w:val="none" w:sz="0" w:space="0" w:color="auto"/>
          </w:divBdr>
        </w:div>
      </w:divsChild>
    </w:div>
    <w:div w:id="1649165049">
      <w:bodyDiv w:val="1"/>
      <w:marLeft w:val="0"/>
      <w:marRight w:val="0"/>
      <w:marTop w:val="0"/>
      <w:marBottom w:val="0"/>
      <w:divBdr>
        <w:top w:val="none" w:sz="0" w:space="0" w:color="auto"/>
        <w:left w:val="none" w:sz="0" w:space="0" w:color="auto"/>
        <w:bottom w:val="none" w:sz="0" w:space="0" w:color="auto"/>
        <w:right w:val="none" w:sz="0" w:space="0" w:color="auto"/>
      </w:divBdr>
      <w:divsChild>
        <w:div w:id="58942933">
          <w:marLeft w:val="0"/>
          <w:marRight w:val="0"/>
          <w:marTop w:val="0"/>
          <w:marBottom w:val="0"/>
          <w:divBdr>
            <w:top w:val="none" w:sz="0" w:space="0" w:color="auto"/>
            <w:left w:val="none" w:sz="0" w:space="0" w:color="auto"/>
            <w:bottom w:val="none" w:sz="0" w:space="0" w:color="auto"/>
            <w:right w:val="none" w:sz="0" w:space="0" w:color="auto"/>
          </w:divBdr>
        </w:div>
        <w:div w:id="1148015208">
          <w:marLeft w:val="0"/>
          <w:marRight w:val="0"/>
          <w:marTop w:val="0"/>
          <w:marBottom w:val="0"/>
          <w:divBdr>
            <w:top w:val="none" w:sz="0" w:space="0" w:color="auto"/>
            <w:left w:val="none" w:sz="0" w:space="0" w:color="auto"/>
            <w:bottom w:val="none" w:sz="0" w:space="0" w:color="auto"/>
            <w:right w:val="none" w:sz="0" w:space="0" w:color="auto"/>
          </w:divBdr>
        </w:div>
        <w:div w:id="182132780">
          <w:marLeft w:val="0"/>
          <w:marRight w:val="0"/>
          <w:marTop w:val="0"/>
          <w:marBottom w:val="0"/>
          <w:divBdr>
            <w:top w:val="none" w:sz="0" w:space="0" w:color="auto"/>
            <w:left w:val="none" w:sz="0" w:space="0" w:color="auto"/>
            <w:bottom w:val="none" w:sz="0" w:space="0" w:color="auto"/>
            <w:right w:val="none" w:sz="0" w:space="0" w:color="auto"/>
          </w:divBdr>
        </w:div>
        <w:div w:id="1257834504">
          <w:marLeft w:val="0"/>
          <w:marRight w:val="0"/>
          <w:marTop w:val="0"/>
          <w:marBottom w:val="0"/>
          <w:divBdr>
            <w:top w:val="none" w:sz="0" w:space="0" w:color="auto"/>
            <w:left w:val="none" w:sz="0" w:space="0" w:color="auto"/>
            <w:bottom w:val="none" w:sz="0" w:space="0" w:color="auto"/>
            <w:right w:val="none" w:sz="0" w:space="0" w:color="auto"/>
          </w:divBdr>
        </w:div>
        <w:div w:id="380249930">
          <w:marLeft w:val="0"/>
          <w:marRight w:val="0"/>
          <w:marTop w:val="0"/>
          <w:marBottom w:val="0"/>
          <w:divBdr>
            <w:top w:val="none" w:sz="0" w:space="0" w:color="auto"/>
            <w:left w:val="none" w:sz="0" w:space="0" w:color="auto"/>
            <w:bottom w:val="none" w:sz="0" w:space="0" w:color="auto"/>
            <w:right w:val="none" w:sz="0" w:space="0" w:color="auto"/>
          </w:divBdr>
        </w:div>
      </w:divsChild>
    </w:div>
    <w:div w:id="1667050626">
      <w:bodyDiv w:val="1"/>
      <w:marLeft w:val="0"/>
      <w:marRight w:val="0"/>
      <w:marTop w:val="0"/>
      <w:marBottom w:val="0"/>
      <w:divBdr>
        <w:top w:val="none" w:sz="0" w:space="0" w:color="auto"/>
        <w:left w:val="none" w:sz="0" w:space="0" w:color="auto"/>
        <w:bottom w:val="none" w:sz="0" w:space="0" w:color="auto"/>
        <w:right w:val="none" w:sz="0" w:space="0" w:color="auto"/>
      </w:divBdr>
      <w:divsChild>
        <w:div w:id="342051272">
          <w:marLeft w:val="0"/>
          <w:marRight w:val="0"/>
          <w:marTop w:val="0"/>
          <w:marBottom w:val="0"/>
          <w:divBdr>
            <w:top w:val="none" w:sz="0" w:space="0" w:color="auto"/>
            <w:left w:val="none" w:sz="0" w:space="0" w:color="auto"/>
            <w:bottom w:val="none" w:sz="0" w:space="0" w:color="auto"/>
            <w:right w:val="none" w:sz="0" w:space="0" w:color="auto"/>
          </w:divBdr>
        </w:div>
        <w:div w:id="695038272">
          <w:marLeft w:val="0"/>
          <w:marRight w:val="0"/>
          <w:marTop w:val="0"/>
          <w:marBottom w:val="0"/>
          <w:divBdr>
            <w:top w:val="none" w:sz="0" w:space="0" w:color="auto"/>
            <w:left w:val="none" w:sz="0" w:space="0" w:color="auto"/>
            <w:bottom w:val="none" w:sz="0" w:space="0" w:color="auto"/>
            <w:right w:val="none" w:sz="0" w:space="0" w:color="auto"/>
          </w:divBdr>
        </w:div>
        <w:div w:id="1053039918">
          <w:marLeft w:val="0"/>
          <w:marRight w:val="0"/>
          <w:marTop w:val="0"/>
          <w:marBottom w:val="0"/>
          <w:divBdr>
            <w:top w:val="none" w:sz="0" w:space="0" w:color="auto"/>
            <w:left w:val="none" w:sz="0" w:space="0" w:color="auto"/>
            <w:bottom w:val="none" w:sz="0" w:space="0" w:color="auto"/>
            <w:right w:val="none" w:sz="0" w:space="0" w:color="auto"/>
          </w:divBdr>
        </w:div>
        <w:div w:id="1907297782">
          <w:marLeft w:val="0"/>
          <w:marRight w:val="0"/>
          <w:marTop w:val="0"/>
          <w:marBottom w:val="0"/>
          <w:divBdr>
            <w:top w:val="none" w:sz="0" w:space="0" w:color="auto"/>
            <w:left w:val="none" w:sz="0" w:space="0" w:color="auto"/>
            <w:bottom w:val="none" w:sz="0" w:space="0" w:color="auto"/>
            <w:right w:val="none" w:sz="0" w:space="0" w:color="auto"/>
          </w:divBdr>
        </w:div>
        <w:div w:id="779838493">
          <w:marLeft w:val="0"/>
          <w:marRight w:val="0"/>
          <w:marTop w:val="0"/>
          <w:marBottom w:val="0"/>
          <w:divBdr>
            <w:top w:val="none" w:sz="0" w:space="0" w:color="auto"/>
            <w:left w:val="none" w:sz="0" w:space="0" w:color="auto"/>
            <w:bottom w:val="none" w:sz="0" w:space="0" w:color="auto"/>
            <w:right w:val="none" w:sz="0" w:space="0" w:color="auto"/>
          </w:divBdr>
        </w:div>
        <w:div w:id="1635065615">
          <w:marLeft w:val="0"/>
          <w:marRight w:val="0"/>
          <w:marTop w:val="0"/>
          <w:marBottom w:val="0"/>
          <w:divBdr>
            <w:top w:val="none" w:sz="0" w:space="0" w:color="auto"/>
            <w:left w:val="none" w:sz="0" w:space="0" w:color="auto"/>
            <w:bottom w:val="none" w:sz="0" w:space="0" w:color="auto"/>
            <w:right w:val="none" w:sz="0" w:space="0" w:color="auto"/>
          </w:divBdr>
        </w:div>
        <w:div w:id="516625473">
          <w:marLeft w:val="0"/>
          <w:marRight w:val="0"/>
          <w:marTop w:val="0"/>
          <w:marBottom w:val="0"/>
          <w:divBdr>
            <w:top w:val="none" w:sz="0" w:space="0" w:color="auto"/>
            <w:left w:val="none" w:sz="0" w:space="0" w:color="auto"/>
            <w:bottom w:val="none" w:sz="0" w:space="0" w:color="auto"/>
            <w:right w:val="none" w:sz="0" w:space="0" w:color="auto"/>
          </w:divBdr>
        </w:div>
        <w:div w:id="341396418">
          <w:marLeft w:val="0"/>
          <w:marRight w:val="0"/>
          <w:marTop w:val="0"/>
          <w:marBottom w:val="0"/>
          <w:divBdr>
            <w:top w:val="none" w:sz="0" w:space="0" w:color="auto"/>
            <w:left w:val="none" w:sz="0" w:space="0" w:color="auto"/>
            <w:bottom w:val="none" w:sz="0" w:space="0" w:color="auto"/>
            <w:right w:val="none" w:sz="0" w:space="0" w:color="auto"/>
          </w:divBdr>
        </w:div>
        <w:div w:id="1981763679">
          <w:marLeft w:val="0"/>
          <w:marRight w:val="0"/>
          <w:marTop w:val="0"/>
          <w:marBottom w:val="0"/>
          <w:divBdr>
            <w:top w:val="none" w:sz="0" w:space="0" w:color="auto"/>
            <w:left w:val="none" w:sz="0" w:space="0" w:color="auto"/>
            <w:bottom w:val="none" w:sz="0" w:space="0" w:color="auto"/>
            <w:right w:val="none" w:sz="0" w:space="0" w:color="auto"/>
          </w:divBdr>
        </w:div>
        <w:div w:id="1780026328">
          <w:marLeft w:val="0"/>
          <w:marRight w:val="0"/>
          <w:marTop w:val="0"/>
          <w:marBottom w:val="0"/>
          <w:divBdr>
            <w:top w:val="none" w:sz="0" w:space="0" w:color="auto"/>
            <w:left w:val="none" w:sz="0" w:space="0" w:color="auto"/>
            <w:bottom w:val="none" w:sz="0" w:space="0" w:color="auto"/>
            <w:right w:val="none" w:sz="0" w:space="0" w:color="auto"/>
          </w:divBdr>
        </w:div>
        <w:div w:id="1890191682">
          <w:marLeft w:val="0"/>
          <w:marRight w:val="0"/>
          <w:marTop w:val="0"/>
          <w:marBottom w:val="0"/>
          <w:divBdr>
            <w:top w:val="none" w:sz="0" w:space="0" w:color="auto"/>
            <w:left w:val="none" w:sz="0" w:space="0" w:color="auto"/>
            <w:bottom w:val="none" w:sz="0" w:space="0" w:color="auto"/>
            <w:right w:val="none" w:sz="0" w:space="0" w:color="auto"/>
          </w:divBdr>
        </w:div>
        <w:div w:id="986712566">
          <w:marLeft w:val="0"/>
          <w:marRight w:val="0"/>
          <w:marTop w:val="0"/>
          <w:marBottom w:val="0"/>
          <w:divBdr>
            <w:top w:val="none" w:sz="0" w:space="0" w:color="auto"/>
            <w:left w:val="none" w:sz="0" w:space="0" w:color="auto"/>
            <w:bottom w:val="none" w:sz="0" w:space="0" w:color="auto"/>
            <w:right w:val="none" w:sz="0" w:space="0" w:color="auto"/>
          </w:divBdr>
        </w:div>
        <w:div w:id="1040471506">
          <w:marLeft w:val="0"/>
          <w:marRight w:val="0"/>
          <w:marTop w:val="0"/>
          <w:marBottom w:val="0"/>
          <w:divBdr>
            <w:top w:val="none" w:sz="0" w:space="0" w:color="auto"/>
            <w:left w:val="none" w:sz="0" w:space="0" w:color="auto"/>
            <w:bottom w:val="none" w:sz="0" w:space="0" w:color="auto"/>
            <w:right w:val="none" w:sz="0" w:space="0" w:color="auto"/>
          </w:divBdr>
        </w:div>
        <w:div w:id="1988238037">
          <w:marLeft w:val="0"/>
          <w:marRight w:val="0"/>
          <w:marTop w:val="0"/>
          <w:marBottom w:val="0"/>
          <w:divBdr>
            <w:top w:val="none" w:sz="0" w:space="0" w:color="auto"/>
            <w:left w:val="none" w:sz="0" w:space="0" w:color="auto"/>
            <w:bottom w:val="none" w:sz="0" w:space="0" w:color="auto"/>
            <w:right w:val="none" w:sz="0" w:space="0" w:color="auto"/>
          </w:divBdr>
        </w:div>
      </w:divsChild>
    </w:div>
    <w:div w:id="1679961181">
      <w:bodyDiv w:val="1"/>
      <w:marLeft w:val="0"/>
      <w:marRight w:val="0"/>
      <w:marTop w:val="0"/>
      <w:marBottom w:val="0"/>
      <w:divBdr>
        <w:top w:val="none" w:sz="0" w:space="0" w:color="auto"/>
        <w:left w:val="none" w:sz="0" w:space="0" w:color="auto"/>
        <w:bottom w:val="none" w:sz="0" w:space="0" w:color="auto"/>
        <w:right w:val="none" w:sz="0" w:space="0" w:color="auto"/>
      </w:divBdr>
      <w:divsChild>
        <w:div w:id="1557164374">
          <w:marLeft w:val="0"/>
          <w:marRight w:val="0"/>
          <w:marTop w:val="0"/>
          <w:marBottom w:val="0"/>
          <w:divBdr>
            <w:top w:val="none" w:sz="0" w:space="0" w:color="auto"/>
            <w:left w:val="none" w:sz="0" w:space="0" w:color="auto"/>
            <w:bottom w:val="none" w:sz="0" w:space="0" w:color="auto"/>
            <w:right w:val="none" w:sz="0" w:space="0" w:color="auto"/>
          </w:divBdr>
        </w:div>
        <w:div w:id="559562123">
          <w:marLeft w:val="0"/>
          <w:marRight w:val="0"/>
          <w:marTop w:val="0"/>
          <w:marBottom w:val="0"/>
          <w:divBdr>
            <w:top w:val="none" w:sz="0" w:space="0" w:color="auto"/>
            <w:left w:val="none" w:sz="0" w:space="0" w:color="auto"/>
            <w:bottom w:val="none" w:sz="0" w:space="0" w:color="auto"/>
            <w:right w:val="none" w:sz="0" w:space="0" w:color="auto"/>
          </w:divBdr>
        </w:div>
        <w:div w:id="705761464">
          <w:marLeft w:val="0"/>
          <w:marRight w:val="0"/>
          <w:marTop w:val="0"/>
          <w:marBottom w:val="0"/>
          <w:divBdr>
            <w:top w:val="none" w:sz="0" w:space="0" w:color="auto"/>
            <w:left w:val="none" w:sz="0" w:space="0" w:color="auto"/>
            <w:bottom w:val="none" w:sz="0" w:space="0" w:color="auto"/>
            <w:right w:val="none" w:sz="0" w:space="0" w:color="auto"/>
          </w:divBdr>
        </w:div>
        <w:div w:id="2029791067">
          <w:marLeft w:val="0"/>
          <w:marRight w:val="0"/>
          <w:marTop w:val="0"/>
          <w:marBottom w:val="0"/>
          <w:divBdr>
            <w:top w:val="none" w:sz="0" w:space="0" w:color="auto"/>
            <w:left w:val="none" w:sz="0" w:space="0" w:color="auto"/>
            <w:bottom w:val="none" w:sz="0" w:space="0" w:color="auto"/>
            <w:right w:val="none" w:sz="0" w:space="0" w:color="auto"/>
          </w:divBdr>
        </w:div>
      </w:divsChild>
    </w:div>
    <w:div w:id="1842159140">
      <w:bodyDiv w:val="1"/>
      <w:marLeft w:val="0"/>
      <w:marRight w:val="0"/>
      <w:marTop w:val="0"/>
      <w:marBottom w:val="0"/>
      <w:divBdr>
        <w:top w:val="none" w:sz="0" w:space="0" w:color="auto"/>
        <w:left w:val="none" w:sz="0" w:space="0" w:color="auto"/>
        <w:bottom w:val="none" w:sz="0" w:space="0" w:color="auto"/>
        <w:right w:val="none" w:sz="0" w:space="0" w:color="auto"/>
      </w:divBdr>
      <w:divsChild>
        <w:div w:id="2014454080">
          <w:marLeft w:val="0"/>
          <w:marRight w:val="0"/>
          <w:marTop w:val="0"/>
          <w:marBottom w:val="0"/>
          <w:divBdr>
            <w:top w:val="none" w:sz="0" w:space="0" w:color="auto"/>
            <w:left w:val="none" w:sz="0" w:space="0" w:color="auto"/>
            <w:bottom w:val="none" w:sz="0" w:space="0" w:color="auto"/>
            <w:right w:val="none" w:sz="0" w:space="0" w:color="auto"/>
          </w:divBdr>
        </w:div>
        <w:div w:id="471362874">
          <w:marLeft w:val="0"/>
          <w:marRight w:val="0"/>
          <w:marTop w:val="0"/>
          <w:marBottom w:val="0"/>
          <w:divBdr>
            <w:top w:val="none" w:sz="0" w:space="0" w:color="auto"/>
            <w:left w:val="none" w:sz="0" w:space="0" w:color="auto"/>
            <w:bottom w:val="none" w:sz="0" w:space="0" w:color="auto"/>
            <w:right w:val="none" w:sz="0" w:space="0" w:color="auto"/>
          </w:divBdr>
        </w:div>
      </w:divsChild>
    </w:div>
    <w:div w:id="2000113859">
      <w:bodyDiv w:val="1"/>
      <w:marLeft w:val="0"/>
      <w:marRight w:val="0"/>
      <w:marTop w:val="0"/>
      <w:marBottom w:val="0"/>
      <w:divBdr>
        <w:top w:val="none" w:sz="0" w:space="0" w:color="auto"/>
        <w:left w:val="none" w:sz="0" w:space="0" w:color="auto"/>
        <w:bottom w:val="none" w:sz="0" w:space="0" w:color="auto"/>
        <w:right w:val="none" w:sz="0" w:space="0" w:color="auto"/>
      </w:divBdr>
      <w:divsChild>
        <w:div w:id="623662140">
          <w:marLeft w:val="0"/>
          <w:marRight w:val="0"/>
          <w:marTop w:val="0"/>
          <w:marBottom w:val="0"/>
          <w:divBdr>
            <w:top w:val="none" w:sz="0" w:space="0" w:color="auto"/>
            <w:left w:val="none" w:sz="0" w:space="0" w:color="auto"/>
            <w:bottom w:val="none" w:sz="0" w:space="0" w:color="auto"/>
            <w:right w:val="none" w:sz="0" w:space="0" w:color="auto"/>
          </w:divBdr>
        </w:div>
        <w:div w:id="407271248">
          <w:marLeft w:val="0"/>
          <w:marRight w:val="0"/>
          <w:marTop w:val="0"/>
          <w:marBottom w:val="0"/>
          <w:divBdr>
            <w:top w:val="none" w:sz="0" w:space="0" w:color="auto"/>
            <w:left w:val="none" w:sz="0" w:space="0" w:color="auto"/>
            <w:bottom w:val="none" w:sz="0" w:space="0" w:color="auto"/>
            <w:right w:val="none" w:sz="0" w:space="0" w:color="auto"/>
          </w:divBdr>
        </w:div>
        <w:div w:id="1961522526">
          <w:marLeft w:val="0"/>
          <w:marRight w:val="0"/>
          <w:marTop w:val="0"/>
          <w:marBottom w:val="0"/>
          <w:divBdr>
            <w:top w:val="none" w:sz="0" w:space="0" w:color="auto"/>
            <w:left w:val="none" w:sz="0" w:space="0" w:color="auto"/>
            <w:bottom w:val="none" w:sz="0" w:space="0" w:color="auto"/>
            <w:right w:val="none" w:sz="0" w:space="0" w:color="auto"/>
          </w:divBdr>
        </w:div>
        <w:div w:id="1178351116">
          <w:marLeft w:val="0"/>
          <w:marRight w:val="0"/>
          <w:marTop w:val="0"/>
          <w:marBottom w:val="0"/>
          <w:divBdr>
            <w:top w:val="none" w:sz="0" w:space="0" w:color="auto"/>
            <w:left w:val="none" w:sz="0" w:space="0" w:color="auto"/>
            <w:bottom w:val="none" w:sz="0" w:space="0" w:color="auto"/>
            <w:right w:val="none" w:sz="0" w:space="0" w:color="auto"/>
          </w:divBdr>
        </w:div>
        <w:div w:id="470397">
          <w:marLeft w:val="0"/>
          <w:marRight w:val="0"/>
          <w:marTop w:val="0"/>
          <w:marBottom w:val="0"/>
          <w:divBdr>
            <w:top w:val="none" w:sz="0" w:space="0" w:color="auto"/>
            <w:left w:val="none" w:sz="0" w:space="0" w:color="auto"/>
            <w:bottom w:val="none" w:sz="0" w:space="0" w:color="auto"/>
            <w:right w:val="none" w:sz="0" w:space="0" w:color="auto"/>
          </w:divBdr>
        </w:div>
        <w:div w:id="728186204">
          <w:marLeft w:val="0"/>
          <w:marRight w:val="0"/>
          <w:marTop w:val="0"/>
          <w:marBottom w:val="0"/>
          <w:divBdr>
            <w:top w:val="none" w:sz="0" w:space="0" w:color="auto"/>
            <w:left w:val="none" w:sz="0" w:space="0" w:color="auto"/>
            <w:bottom w:val="none" w:sz="0" w:space="0" w:color="auto"/>
            <w:right w:val="none" w:sz="0" w:space="0" w:color="auto"/>
          </w:divBdr>
        </w:div>
        <w:div w:id="197351802">
          <w:marLeft w:val="0"/>
          <w:marRight w:val="0"/>
          <w:marTop w:val="0"/>
          <w:marBottom w:val="0"/>
          <w:divBdr>
            <w:top w:val="none" w:sz="0" w:space="0" w:color="auto"/>
            <w:left w:val="none" w:sz="0" w:space="0" w:color="auto"/>
            <w:bottom w:val="none" w:sz="0" w:space="0" w:color="auto"/>
            <w:right w:val="none" w:sz="0" w:space="0" w:color="auto"/>
          </w:divBdr>
        </w:div>
        <w:div w:id="1059941745">
          <w:marLeft w:val="0"/>
          <w:marRight w:val="0"/>
          <w:marTop w:val="0"/>
          <w:marBottom w:val="0"/>
          <w:divBdr>
            <w:top w:val="none" w:sz="0" w:space="0" w:color="auto"/>
            <w:left w:val="none" w:sz="0" w:space="0" w:color="auto"/>
            <w:bottom w:val="none" w:sz="0" w:space="0" w:color="auto"/>
            <w:right w:val="none" w:sz="0" w:space="0" w:color="auto"/>
          </w:divBdr>
        </w:div>
        <w:div w:id="812525883">
          <w:marLeft w:val="0"/>
          <w:marRight w:val="0"/>
          <w:marTop w:val="0"/>
          <w:marBottom w:val="0"/>
          <w:divBdr>
            <w:top w:val="none" w:sz="0" w:space="0" w:color="auto"/>
            <w:left w:val="none" w:sz="0" w:space="0" w:color="auto"/>
            <w:bottom w:val="none" w:sz="0" w:space="0" w:color="auto"/>
            <w:right w:val="none" w:sz="0" w:space="0" w:color="auto"/>
          </w:divBdr>
        </w:div>
        <w:div w:id="1050953793">
          <w:marLeft w:val="0"/>
          <w:marRight w:val="0"/>
          <w:marTop w:val="0"/>
          <w:marBottom w:val="0"/>
          <w:divBdr>
            <w:top w:val="none" w:sz="0" w:space="0" w:color="auto"/>
            <w:left w:val="none" w:sz="0" w:space="0" w:color="auto"/>
            <w:bottom w:val="none" w:sz="0" w:space="0" w:color="auto"/>
            <w:right w:val="none" w:sz="0" w:space="0" w:color="auto"/>
          </w:divBdr>
        </w:div>
        <w:div w:id="130288317">
          <w:marLeft w:val="0"/>
          <w:marRight w:val="0"/>
          <w:marTop w:val="0"/>
          <w:marBottom w:val="0"/>
          <w:divBdr>
            <w:top w:val="none" w:sz="0" w:space="0" w:color="auto"/>
            <w:left w:val="none" w:sz="0" w:space="0" w:color="auto"/>
            <w:bottom w:val="none" w:sz="0" w:space="0" w:color="auto"/>
            <w:right w:val="none" w:sz="0" w:space="0" w:color="auto"/>
          </w:divBdr>
        </w:div>
        <w:div w:id="2013099263">
          <w:marLeft w:val="0"/>
          <w:marRight w:val="0"/>
          <w:marTop w:val="0"/>
          <w:marBottom w:val="0"/>
          <w:divBdr>
            <w:top w:val="none" w:sz="0" w:space="0" w:color="auto"/>
            <w:left w:val="none" w:sz="0" w:space="0" w:color="auto"/>
            <w:bottom w:val="none" w:sz="0" w:space="0" w:color="auto"/>
            <w:right w:val="none" w:sz="0" w:space="0" w:color="auto"/>
          </w:divBdr>
        </w:div>
        <w:div w:id="355473401">
          <w:marLeft w:val="0"/>
          <w:marRight w:val="0"/>
          <w:marTop w:val="0"/>
          <w:marBottom w:val="0"/>
          <w:divBdr>
            <w:top w:val="none" w:sz="0" w:space="0" w:color="auto"/>
            <w:left w:val="none" w:sz="0" w:space="0" w:color="auto"/>
            <w:bottom w:val="none" w:sz="0" w:space="0" w:color="auto"/>
            <w:right w:val="none" w:sz="0" w:space="0" w:color="auto"/>
          </w:divBdr>
        </w:div>
        <w:div w:id="877551512">
          <w:marLeft w:val="0"/>
          <w:marRight w:val="0"/>
          <w:marTop w:val="0"/>
          <w:marBottom w:val="0"/>
          <w:divBdr>
            <w:top w:val="none" w:sz="0" w:space="0" w:color="auto"/>
            <w:left w:val="none" w:sz="0" w:space="0" w:color="auto"/>
            <w:bottom w:val="none" w:sz="0" w:space="0" w:color="auto"/>
            <w:right w:val="none" w:sz="0" w:space="0" w:color="auto"/>
          </w:divBdr>
        </w:div>
        <w:div w:id="1671374389">
          <w:marLeft w:val="0"/>
          <w:marRight w:val="0"/>
          <w:marTop w:val="0"/>
          <w:marBottom w:val="0"/>
          <w:divBdr>
            <w:top w:val="none" w:sz="0" w:space="0" w:color="auto"/>
            <w:left w:val="none" w:sz="0" w:space="0" w:color="auto"/>
            <w:bottom w:val="none" w:sz="0" w:space="0" w:color="auto"/>
            <w:right w:val="none" w:sz="0" w:space="0" w:color="auto"/>
          </w:divBdr>
        </w:div>
        <w:div w:id="1650597097">
          <w:marLeft w:val="0"/>
          <w:marRight w:val="0"/>
          <w:marTop w:val="0"/>
          <w:marBottom w:val="0"/>
          <w:divBdr>
            <w:top w:val="none" w:sz="0" w:space="0" w:color="auto"/>
            <w:left w:val="none" w:sz="0" w:space="0" w:color="auto"/>
            <w:bottom w:val="none" w:sz="0" w:space="0" w:color="auto"/>
            <w:right w:val="none" w:sz="0" w:space="0" w:color="auto"/>
          </w:divBdr>
        </w:div>
        <w:div w:id="575358539">
          <w:marLeft w:val="0"/>
          <w:marRight w:val="0"/>
          <w:marTop w:val="0"/>
          <w:marBottom w:val="0"/>
          <w:divBdr>
            <w:top w:val="none" w:sz="0" w:space="0" w:color="auto"/>
            <w:left w:val="none" w:sz="0" w:space="0" w:color="auto"/>
            <w:bottom w:val="none" w:sz="0" w:space="0" w:color="auto"/>
            <w:right w:val="none" w:sz="0" w:space="0" w:color="auto"/>
          </w:divBdr>
        </w:div>
        <w:div w:id="1139302538">
          <w:marLeft w:val="0"/>
          <w:marRight w:val="0"/>
          <w:marTop w:val="0"/>
          <w:marBottom w:val="0"/>
          <w:divBdr>
            <w:top w:val="none" w:sz="0" w:space="0" w:color="auto"/>
            <w:left w:val="none" w:sz="0" w:space="0" w:color="auto"/>
            <w:bottom w:val="none" w:sz="0" w:space="0" w:color="auto"/>
            <w:right w:val="none" w:sz="0" w:space="0" w:color="auto"/>
          </w:divBdr>
        </w:div>
        <w:div w:id="947083002">
          <w:marLeft w:val="0"/>
          <w:marRight w:val="0"/>
          <w:marTop w:val="0"/>
          <w:marBottom w:val="0"/>
          <w:divBdr>
            <w:top w:val="none" w:sz="0" w:space="0" w:color="auto"/>
            <w:left w:val="none" w:sz="0" w:space="0" w:color="auto"/>
            <w:bottom w:val="none" w:sz="0" w:space="0" w:color="auto"/>
            <w:right w:val="none" w:sz="0" w:space="0" w:color="auto"/>
          </w:divBdr>
        </w:div>
        <w:div w:id="1173842539">
          <w:marLeft w:val="0"/>
          <w:marRight w:val="0"/>
          <w:marTop w:val="0"/>
          <w:marBottom w:val="0"/>
          <w:divBdr>
            <w:top w:val="none" w:sz="0" w:space="0" w:color="auto"/>
            <w:left w:val="none" w:sz="0" w:space="0" w:color="auto"/>
            <w:bottom w:val="none" w:sz="0" w:space="0" w:color="auto"/>
            <w:right w:val="none" w:sz="0" w:space="0" w:color="auto"/>
          </w:divBdr>
        </w:div>
        <w:div w:id="619381478">
          <w:marLeft w:val="0"/>
          <w:marRight w:val="0"/>
          <w:marTop w:val="0"/>
          <w:marBottom w:val="0"/>
          <w:divBdr>
            <w:top w:val="none" w:sz="0" w:space="0" w:color="auto"/>
            <w:left w:val="none" w:sz="0" w:space="0" w:color="auto"/>
            <w:bottom w:val="none" w:sz="0" w:space="0" w:color="auto"/>
            <w:right w:val="none" w:sz="0" w:space="0" w:color="auto"/>
          </w:divBdr>
        </w:div>
        <w:div w:id="9875877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1" Type="http://schemas.openxmlformats.org/officeDocument/2006/relationships/hyperlink" Target="https://www.bundestag.de/presse/hib/2015_02/-/362606" TargetMode="External"/><Relationship Id="rId12" Type="http://schemas.openxmlformats.org/officeDocument/2006/relationships/hyperlink" Target="http://bit.ly/2cgKWZ6" TargetMode="External"/><Relationship Id="rId13" Type="http://schemas.openxmlformats.org/officeDocument/2006/relationships/hyperlink" Target="http://bit.ly/2944rFa" TargetMode="External"/><Relationship Id="rId1" Type="http://schemas.openxmlformats.org/officeDocument/2006/relationships/hyperlink" Target="http://ec.europa.eu/newsroom/dae/document.cfm?doc_id=17200" TargetMode="External"/><Relationship Id="rId2" Type="http://schemas.openxmlformats.org/officeDocument/2006/relationships/hyperlink" Target="https://www.bmjv.de/SharedDocs/Gesetzgebungsverfahren/Dokumente/RefE_UrhWissG.pdf" TargetMode="External"/><Relationship Id="rId3" Type="http://schemas.openxmlformats.org/officeDocument/2006/relationships/hyperlink" Target="http://www.europarl.europa.eu/sides/getDoc.do?type=TA&amp;reference=P8-TA-2015-0273&amp;language=EN" TargetMode="External"/><Relationship Id="rId4" Type="http://schemas.openxmlformats.org/officeDocument/2006/relationships/hyperlink" Target="https://juliareda.eu/copyright-evaluation-report-explained/" TargetMode="External"/><Relationship Id="rId5" Type="http://schemas.openxmlformats.org/officeDocument/2006/relationships/hyperlink" Target="https://juliareda.eu/copyright-evaluation-report/full/" TargetMode="External"/><Relationship Id="rId6" Type="http://schemas.openxmlformats.org/officeDocument/2006/relationships/hyperlink" Target="http://www.wipo.int/wipolex/en/treaties/text.jsp?file_id=301019" TargetMode="External"/><Relationship Id="rId7" Type="http://schemas.openxmlformats.org/officeDocument/2006/relationships/hyperlink" Target="http://bit.ly/2cCqD8m" TargetMode="External"/><Relationship Id="rId8" Type="http://schemas.openxmlformats.org/officeDocument/2006/relationships/hyperlink" Target="http://www.ingentaconnect.com/content/mohr/zge" TargetMode="External"/><Relationship Id="rId9" Type="http://schemas.openxmlformats.org/officeDocument/2006/relationships/hyperlink" Target="https://www.boersenblatt.net/artikel-interview_mit_robert_staats__geschaeftsfuehrer_der_vg_wort.1266695.html" TargetMode="External"/><Relationship Id="rId10" Type="http://schemas.openxmlformats.org/officeDocument/2006/relationships/hyperlink" Target="http://ec.europa.eu/newsroom/dae/document.cfm?action=display&amp;doc_id=17026r"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964B8-6C28-6446-BDE7-EE73C21A8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8571</Words>
  <Characters>54001</Characters>
  <Application>Microsoft Macintosh Word</Application>
  <DocSecurity>0</DocSecurity>
  <Lines>450</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Kuhlen</dc:creator>
  <cp:keywords/>
  <dc:description/>
  <cp:lastModifiedBy>Rainer Kuhlen</cp:lastModifiedBy>
  <cp:revision>2</cp:revision>
  <cp:lastPrinted>2017-02-18T05:54:00Z</cp:lastPrinted>
  <dcterms:created xsi:type="dcterms:W3CDTF">2017-08-09T14:03:00Z</dcterms:created>
  <dcterms:modified xsi:type="dcterms:W3CDTF">2017-08-09T14:03:00Z</dcterms:modified>
</cp:coreProperties>
</file>